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FD19" w14:textId="7088A019" w:rsidR="00F44124" w:rsidRPr="00316368" w:rsidRDefault="00F44124" w:rsidP="00316368">
      <w:pPr>
        <w:spacing w:after="120"/>
        <w:jc w:val="center"/>
        <w:rPr>
          <w:b/>
          <w:bCs/>
          <w:sz w:val="28"/>
          <w:szCs w:val="24"/>
        </w:rPr>
      </w:pPr>
      <w:r>
        <w:rPr>
          <w:b/>
          <w:bCs/>
          <w:sz w:val="28"/>
          <w:szCs w:val="24"/>
        </w:rPr>
        <w:t xml:space="preserve">BOB ICB </w:t>
      </w:r>
      <w:r w:rsidRPr="00F44124">
        <w:rPr>
          <w:b/>
          <w:bCs/>
          <w:sz w:val="28"/>
          <w:szCs w:val="24"/>
        </w:rPr>
        <w:t>Board Meeting in Public</w:t>
      </w:r>
    </w:p>
    <w:p w14:paraId="0A91831B" w14:textId="0EF7FB14" w:rsidR="00FD0A69" w:rsidRDefault="00F44124" w:rsidP="00FD0A69">
      <w:pPr>
        <w:spacing w:after="120"/>
        <w:ind w:left="-851"/>
        <w:jc w:val="both"/>
      </w:pPr>
      <w:r>
        <w:t xml:space="preserve">Responses to the public questions submitted to the </w:t>
      </w:r>
      <w:r w:rsidR="007C095A">
        <w:t>16 January 2024</w:t>
      </w:r>
      <w:r>
        <w:t xml:space="preserve"> Board meeting:</w:t>
      </w:r>
    </w:p>
    <w:tbl>
      <w:tblPr>
        <w:tblStyle w:val="TableGrid"/>
        <w:tblW w:w="11057" w:type="dxa"/>
        <w:tblInd w:w="-856" w:type="dxa"/>
        <w:tblLayout w:type="fixed"/>
        <w:tblLook w:val="04A0" w:firstRow="1" w:lastRow="0" w:firstColumn="1" w:lastColumn="0" w:noHBand="0" w:noVBand="1"/>
      </w:tblPr>
      <w:tblGrid>
        <w:gridCol w:w="1277"/>
        <w:gridCol w:w="9780"/>
      </w:tblGrid>
      <w:tr w:rsidR="00DA5648" w:rsidRPr="00BD24CD" w14:paraId="77E044BC" w14:textId="77777777" w:rsidTr="4EF57CF3">
        <w:tc>
          <w:tcPr>
            <w:tcW w:w="1277" w:type="dxa"/>
            <w:shd w:val="clear" w:color="auto" w:fill="D9E2F3" w:themeFill="accent1" w:themeFillTint="33"/>
          </w:tcPr>
          <w:p w14:paraId="4B7B2847" w14:textId="77777777" w:rsidR="00DA5648" w:rsidRPr="00BD24CD" w:rsidRDefault="00DA5648" w:rsidP="000739D0">
            <w:pPr>
              <w:spacing w:before="40" w:after="40"/>
              <w:ind w:right="-78"/>
              <w:rPr>
                <w:rFonts w:cs="Arial"/>
                <w:b/>
                <w:bCs/>
                <w:sz w:val="22"/>
              </w:rPr>
            </w:pPr>
            <w:r w:rsidRPr="00BD24CD">
              <w:rPr>
                <w:rFonts w:cs="Arial"/>
                <w:b/>
                <w:bCs/>
                <w:sz w:val="22"/>
              </w:rPr>
              <w:t>Ref</w:t>
            </w:r>
          </w:p>
        </w:tc>
        <w:tc>
          <w:tcPr>
            <w:tcW w:w="9780" w:type="dxa"/>
            <w:shd w:val="clear" w:color="auto" w:fill="D9E2F3" w:themeFill="accent1" w:themeFillTint="33"/>
          </w:tcPr>
          <w:p w14:paraId="4EC50867" w14:textId="77777777" w:rsidR="00DA5648" w:rsidRPr="00BD24CD" w:rsidRDefault="00DA5648" w:rsidP="000739D0">
            <w:pPr>
              <w:spacing w:before="40" w:after="40"/>
              <w:ind w:right="-107"/>
              <w:rPr>
                <w:rFonts w:cs="Arial"/>
                <w:b/>
                <w:bCs/>
                <w:sz w:val="22"/>
              </w:rPr>
            </w:pPr>
            <w:r w:rsidRPr="00BD24CD">
              <w:rPr>
                <w:rFonts w:cs="Arial"/>
                <w:b/>
                <w:bCs/>
                <w:sz w:val="22"/>
              </w:rPr>
              <w:t>Questions / Comments</w:t>
            </w:r>
          </w:p>
        </w:tc>
      </w:tr>
      <w:tr w:rsidR="00DA5648" w:rsidRPr="00BD24CD" w14:paraId="0AF8C3D6" w14:textId="77777777" w:rsidTr="4EF57CF3">
        <w:trPr>
          <w:trHeight w:val="283"/>
        </w:trPr>
        <w:tc>
          <w:tcPr>
            <w:tcW w:w="1277" w:type="dxa"/>
            <w:shd w:val="clear" w:color="auto" w:fill="E7E6E6" w:themeFill="background2"/>
          </w:tcPr>
          <w:p w14:paraId="22C07396" w14:textId="77777777" w:rsidR="00DA5648" w:rsidRDefault="00DA5648" w:rsidP="000739D0">
            <w:pPr>
              <w:spacing w:before="40" w:after="40"/>
              <w:rPr>
                <w:rFonts w:cs="Arial"/>
                <w:b/>
                <w:bCs/>
                <w:sz w:val="22"/>
              </w:rPr>
            </w:pPr>
            <w:r w:rsidRPr="00BD24CD">
              <w:rPr>
                <w:rFonts w:cs="Arial"/>
                <w:b/>
                <w:bCs/>
                <w:sz w:val="22"/>
              </w:rPr>
              <w:t xml:space="preserve">No. </w:t>
            </w:r>
            <w:r>
              <w:rPr>
                <w:rFonts w:cs="Arial"/>
                <w:b/>
                <w:bCs/>
                <w:sz w:val="22"/>
              </w:rPr>
              <w:t>1</w:t>
            </w:r>
          </w:p>
          <w:p w14:paraId="71B9E105" w14:textId="6BFA1F5F" w:rsidR="00FB5FF8" w:rsidRPr="00FB5FF8" w:rsidRDefault="1734D57F" w:rsidP="4EF57CF3">
            <w:pPr>
              <w:spacing w:before="40" w:after="40"/>
              <w:rPr>
                <w:rFonts w:cs="Arial"/>
                <w:sz w:val="22"/>
              </w:rPr>
            </w:pPr>
            <w:r w:rsidRPr="4EF57CF3">
              <w:rPr>
                <w:rFonts w:cs="Arial"/>
                <w:sz w:val="22"/>
              </w:rPr>
              <w:t xml:space="preserve">(Item </w:t>
            </w:r>
            <w:r w:rsidR="03D08675" w:rsidRPr="4EF57CF3">
              <w:rPr>
                <w:rFonts w:cs="Arial"/>
                <w:sz w:val="22"/>
              </w:rPr>
              <w:t>8</w:t>
            </w:r>
            <w:r w:rsidRPr="4EF57CF3">
              <w:rPr>
                <w:rFonts w:cs="Arial"/>
                <w:sz w:val="22"/>
              </w:rPr>
              <w:t>)</w:t>
            </w:r>
          </w:p>
        </w:tc>
        <w:tc>
          <w:tcPr>
            <w:tcW w:w="9780" w:type="dxa"/>
            <w:shd w:val="clear" w:color="auto" w:fill="E7E6E6" w:themeFill="background2"/>
          </w:tcPr>
          <w:p w14:paraId="7436DFBB" w14:textId="692DC8A2" w:rsidR="00DA5648" w:rsidRPr="00ED3E0F" w:rsidRDefault="37E262E6" w:rsidP="4EF57CF3">
            <w:pPr>
              <w:spacing w:before="40" w:after="120"/>
              <w:ind w:right="-114"/>
              <w:rPr>
                <w:color w:val="000000" w:themeColor="text1"/>
              </w:rPr>
            </w:pPr>
            <w:r w:rsidRPr="4EF57CF3">
              <w:rPr>
                <w:color w:val="000000" w:themeColor="text1"/>
              </w:rPr>
              <w:t xml:space="preserve">The chief exec's report states a wish to engage as wide a range of the BOB population as possible on the Primary Care </w:t>
            </w:r>
            <w:r w:rsidR="5BBC1EF2" w:rsidRPr="4EF57CF3">
              <w:rPr>
                <w:color w:val="000000" w:themeColor="text1"/>
              </w:rPr>
              <w:t>Strategy but</w:t>
            </w:r>
            <w:r w:rsidRPr="4EF57CF3">
              <w:rPr>
                <w:color w:val="000000" w:themeColor="text1"/>
              </w:rPr>
              <w:t xml:space="preserve"> fails to expressly mention patient participation groups. Since PPGs are a contractual requirement for all GP practices and a ready source of informed patient opinion, can the Board confirm that PPGs are included in this wish?</w:t>
            </w:r>
          </w:p>
          <w:p w14:paraId="23518F72" w14:textId="1DCD9C95" w:rsidR="00DA5648" w:rsidRPr="00ED3E0F" w:rsidRDefault="37E262E6" w:rsidP="4EF57CF3">
            <w:pPr>
              <w:spacing w:before="40" w:after="40"/>
              <w:rPr>
                <w:i/>
                <w:iCs/>
                <w:color w:val="000000" w:themeColor="text1"/>
              </w:rPr>
            </w:pPr>
            <w:r w:rsidRPr="4EF57CF3">
              <w:rPr>
                <w:i/>
                <w:iCs/>
                <w:color w:val="000000" w:themeColor="text1"/>
              </w:rPr>
              <w:t>Question submitted by Mike Etkind.</w:t>
            </w:r>
          </w:p>
        </w:tc>
      </w:tr>
      <w:tr w:rsidR="00DA5648" w:rsidRPr="00BD24CD" w14:paraId="4A583C8C" w14:textId="77777777" w:rsidTr="4EF57CF3">
        <w:tc>
          <w:tcPr>
            <w:tcW w:w="1277" w:type="dxa"/>
          </w:tcPr>
          <w:p w14:paraId="047D9DCC" w14:textId="77777777" w:rsidR="00DA5648" w:rsidRPr="00BD24CD" w:rsidRDefault="00DA5648" w:rsidP="000739D0">
            <w:pPr>
              <w:spacing w:before="40" w:after="40"/>
              <w:rPr>
                <w:rFonts w:cs="Arial"/>
                <w:b/>
                <w:bCs/>
                <w:sz w:val="22"/>
              </w:rPr>
            </w:pPr>
            <w:r w:rsidRPr="00BD24CD">
              <w:rPr>
                <w:rFonts w:cs="Arial"/>
                <w:b/>
                <w:bCs/>
                <w:sz w:val="22"/>
              </w:rPr>
              <w:t>Response</w:t>
            </w:r>
          </w:p>
        </w:tc>
        <w:tc>
          <w:tcPr>
            <w:tcW w:w="9780" w:type="dxa"/>
          </w:tcPr>
          <w:p w14:paraId="621B3F4C" w14:textId="7F64390B" w:rsidR="00DA5648" w:rsidRPr="00D96EFA" w:rsidRDefault="36E3F659" w:rsidP="714377EE">
            <w:pPr>
              <w:spacing w:after="40" w:line="259" w:lineRule="auto"/>
              <w:rPr>
                <w:rFonts w:eastAsia="Calibri" w:cs="Arial"/>
                <w:color w:val="000000" w:themeColor="text1"/>
                <w:szCs w:val="24"/>
              </w:rPr>
            </w:pPr>
            <w:r w:rsidRPr="714377EE">
              <w:rPr>
                <w:rFonts w:eastAsia="Calibri" w:cs="Arial"/>
                <w:color w:val="000000" w:themeColor="text1"/>
                <w:szCs w:val="24"/>
              </w:rPr>
              <w:t xml:space="preserve">PPGs had been included in the work to date and are key stakeholders. Healthwatch Oxfordshire have hosted an engagement session for PPGs locally.  Another five sessions are being planned (another in Oxfordshire, one in Buckinghamshire and three in Berkshire West).  </w:t>
            </w:r>
          </w:p>
        </w:tc>
      </w:tr>
    </w:tbl>
    <w:p w14:paraId="72D1D2D6" w14:textId="7692563F" w:rsidR="00DA5648" w:rsidRPr="004A45F2" w:rsidRDefault="00DA5648">
      <w:pPr>
        <w:rPr>
          <w:sz w:val="14"/>
          <w:szCs w:val="14"/>
        </w:rPr>
      </w:pPr>
    </w:p>
    <w:tbl>
      <w:tblPr>
        <w:tblStyle w:val="TableGrid"/>
        <w:tblW w:w="11057" w:type="dxa"/>
        <w:tblInd w:w="-856" w:type="dxa"/>
        <w:tblLayout w:type="fixed"/>
        <w:tblLook w:val="04A0" w:firstRow="1" w:lastRow="0" w:firstColumn="1" w:lastColumn="0" w:noHBand="0" w:noVBand="1"/>
      </w:tblPr>
      <w:tblGrid>
        <w:gridCol w:w="1277"/>
        <w:gridCol w:w="9780"/>
      </w:tblGrid>
      <w:tr w:rsidR="00FD0A69" w:rsidRPr="00BD24CD" w14:paraId="4CE48E45" w14:textId="77777777" w:rsidTr="4EF57CF3">
        <w:tc>
          <w:tcPr>
            <w:tcW w:w="1277" w:type="dxa"/>
            <w:shd w:val="clear" w:color="auto" w:fill="E7E6E6" w:themeFill="background2"/>
          </w:tcPr>
          <w:p w14:paraId="77E8F158" w14:textId="77777777" w:rsidR="00FD0A69" w:rsidRDefault="00FD0A69" w:rsidP="00FD0A69">
            <w:pPr>
              <w:spacing w:before="40" w:after="40"/>
              <w:rPr>
                <w:rFonts w:cs="Arial"/>
                <w:b/>
                <w:bCs/>
                <w:sz w:val="22"/>
              </w:rPr>
            </w:pPr>
            <w:r w:rsidRPr="00BD24CD">
              <w:rPr>
                <w:rFonts w:cs="Arial"/>
                <w:b/>
                <w:bCs/>
                <w:sz w:val="22"/>
              </w:rPr>
              <w:t xml:space="preserve">No. </w:t>
            </w:r>
            <w:r w:rsidR="00DA5648">
              <w:rPr>
                <w:rFonts w:cs="Arial"/>
                <w:b/>
                <w:bCs/>
                <w:sz w:val="22"/>
              </w:rPr>
              <w:t>2</w:t>
            </w:r>
          </w:p>
          <w:p w14:paraId="52D13650" w14:textId="5FF9B20E" w:rsidR="000118E2" w:rsidRPr="00BD24CD" w:rsidRDefault="28EA3B5F" w:rsidP="4EF57CF3">
            <w:pPr>
              <w:spacing w:before="40" w:after="40"/>
              <w:rPr>
                <w:rFonts w:cs="Arial"/>
                <w:b/>
                <w:bCs/>
                <w:sz w:val="22"/>
              </w:rPr>
            </w:pPr>
            <w:r w:rsidRPr="4EF57CF3">
              <w:rPr>
                <w:rFonts w:cs="Arial"/>
                <w:sz w:val="22"/>
              </w:rPr>
              <w:t xml:space="preserve">(Item </w:t>
            </w:r>
            <w:r w:rsidR="0298448A" w:rsidRPr="4EF57CF3">
              <w:rPr>
                <w:rFonts w:cs="Arial"/>
                <w:sz w:val="22"/>
              </w:rPr>
              <w:t>13</w:t>
            </w:r>
            <w:r w:rsidRPr="4EF57CF3">
              <w:rPr>
                <w:rFonts w:cs="Arial"/>
                <w:sz w:val="22"/>
              </w:rPr>
              <w:t>)</w:t>
            </w:r>
          </w:p>
        </w:tc>
        <w:tc>
          <w:tcPr>
            <w:tcW w:w="9780" w:type="dxa"/>
            <w:shd w:val="clear" w:color="auto" w:fill="E7E6E6" w:themeFill="background2"/>
          </w:tcPr>
          <w:p w14:paraId="0E8A8B3A" w14:textId="05E1A06C" w:rsidR="00B5539D" w:rsidRPr="00B5539D" w:rsidRDefault="00B5539D" w:rsidP="00B5539D">
            <w:pPr>
              <w:spacing w:before="40" w:after="40"/>
              <w:ind w:left="-20" w:right="-20"/>
              <w:rPr>
                <w:rFonts w:eastAsia="Arial" w:cs="Arial"/>
                <w:szCs w:val="24"/>
                <w:u w:val="single"/>
              </w:rPr>
            </w:pPr>
            <w:r w:rsidRPr="00B5539D">
              <w:rPr>
                <w:rFonts w:eastAsia="Arial" w:cs="Arial"/>
                <w:szCs w:val="24"/>
                <w:u w:val="single"/>
              </w:rPr>
              <w:t>Q</w:t>
            </w:r>
            <w:r>
              <w:rPr>
                <w:rFonts w:eastAsia="Arial" w:cs="Arial"/>
                <w:szCs w:val="24"/>
                <w:u w:val="single"/>
              </w:rPr>
              <w:t>2.1</w:t>
            </w:r>
          </w:p>
          <w:p w14:paraId="5F8D2FC2" w14:textId="4D72AD79" w:rsidR="00FD0A69" w:rsidRPr="008C3B3F" w:rsidRDefault="26CA4A70" w:rsidP="00B5539D">
            <w:pPr>
              <w:spacing w:before="40" w:after="240"/>
              <w:ind w:left="-20" w:right="-20"/>
              <w:rPr>
                <w:rFonts w:eastAsia="Arial" w:cs="Arial"/>
                <w:szCs w:val="24"/>
              </w:rPr>
            </w:pPr>
            <w:r w:rsidRPr="4EF57CF3">
              <w:rPr>
                <w:rFonts w:eastAsia="Arial" w:cs="Arial"/>
                <w:szCs w:val="24"/>
              </w:rPr>
              <w:t>Can you link in the opportunity that Pharmacy First (launching 31 Jan) provides with the challenge that access to GP Practice presents? The national (NHS) ambition is to “create” 12 million new appointments a year – how does this translate to numbers at a BOB level? Looking at current GP CPCS participation – BOB is the second best in the Southeast – but this is still with only about 40% of Practices ACTIVELY referring patients with minor illnesses to Community Pharmacy. The recent commissioning of a Minor Ailments Service for low-income patients and their children in BOB will also prove to be a real opportunity to help drive CPCS (Pharmacy First) over the coming months.</w:t>
            </w:r>
          </w:p>
          <w:p w14:paraId="7B2872A1" w14:textId="788A0EBA" w:rsidR="00B5539D" w:rsidRPr="00B5539D" w:rsidRDefault="00B5539D" w:rsidP="4EF57CF3">
            <w:pPr>
              <w:spacing w:before="40" w:after="40"/>
              <w:ind w:left="-20" w:right="-20"/>
              <w:rPr>
                <w:rFonts w:eastAsia="Arial" w:cs="Arial"/>
                <w:szCs w:val="24"/>
                <w:u w:val="single"/>
              </w:rPr>
            </w:pPr>
            <w:r w:rsidRPr="00B5539D">
              <w:rPr>
                <w:rFonts w:eastAsia="Arial" w:cs="Arial"/>
                <w:szCs w:val="24"/>
                <w:u w:val="single"/>
              </w:rPr>
              <w:t>Q2</w:t>
            </w:r>
            <w:r>
              <w:rPr>
                <w:rFonts w:eastAsia="Arial" w:cs="Arial"/>
                <w:szCs w:val="24"/>
                <w:u w:val="single"/>
              </w:rPr>
              <w:t>.2</w:t>
            </w:r>
          </w:p>
          <w:p w14:paraId="6C9474E4" w14:textId="2001EF28" w:rsidR="00FD0A69" w:rsidRDefault="26CA4A70" w:rsidP="00B5539D">
            <w:pPr>
              <w:spacing w:before="40" w:after="240"/>
              <w:ind w:left="-20" w:right="-20"/>
              <w:rPr>
                <w:rFonts w:eastAsia="Arial" w:cs="Arial"/>
                <w:szCs w:val="24"/>
              </w:rPr>
            </w:pPr>
            <w:r w:rsidRPr="4EF57CF3">
              <w:rPr>
                <w:rFonts w:eastAsia="Arial" w:cs="Arial"/>
                <w:szCs w:val="24"/>
              </w:rPr>
              <w:t>I notice that the readmittance rates for OUH are double those in the other trusts. Its noticeable that the roll out of the Discharge Medicines Service in OUH is one of the lowest in the country. Is there a way in which the Board could accelerate the use of technology to provide a catalyst for this service? There are currently 100 Pharmacies in Oxfordshire that are contracted to deliver DMS – they have had a negligible number of patient referrals.</w:t>
            </w:r>
          </w:p>
          <w:p w14:paraId="28E0A346" w14:textId="70A7359D" w:rsidR="00FD0A69" w:rsidRPr="008C3B3F" w:rsidRDefault="26CA4A70" w:rsidP="4EF57CF3">
            <w:pPr>
              <w:spacing w:before="40" w:after="40"/>
              <w:rPr>
                <w:rFonts w:eastAsia="Times New Roman"/>
                <w:sz w:val="22"/>
              </w:rPr>
            </w:pPr>
            <w:r w:rsidRPr="4EF57CF3">
              <w:rPr>
                <w:i/>
                <w:iCs/>
              </w:rPr>
              <w:t>Questions submitted by David Dean, Chief Executive Officer, Community Pharmacy Thames Valley.</w:t>
            </w:r>
          </w:p>
        </w:tc>
      </w:tr>
      <w:tr w:rsidR="0015349C" w:rsidRPr="0015349C" w14:paraId="64A8EB05" w14:textId="77777777" w:rsidTr="4EF57CF3">
        <w:tc>
          <w:tcPr>
            <w:tcW w:w="1277" w:type="dxa"/>
          </w:tcPr>
          <w:p w14:paraId="7732BEBC" w14:textId="77777777" w:rsidR="00FD0A69" w:rsidRPr="00BD24CD" w:rsidRDefault="00FD0A69" w:rsidP="00FD0A69">
            <w:pPr>
              <w:spacing w:before="40" w:after="40"/>
              <w:rPr>
                <w:rFonts w:cs="Arial"/>
                <w:b/>
                <w:bCs/>
                <w:sz w:val="22"/>
              </w:rPr>
            </w:pPr>
            <w:r w:rsidRPr="00BD24CD">
              <w:rPr>
                <w:rFonts w:cs="Arial"/>
                <w:b/>
                <w:bCs/>
                <w:sz w:val="22"/>
              </w:rPr>
              <w:t>Response</w:t>
            </w:r>
          </w:p>
        </w:tc>
        <w:tc>
          <w:tcPr>
            <w:tcW w:w="9780" w:type="dxa"/>
          </w:tcPr>
          <w:p w14:paraId="323586F2" w14:textId="4248E0B2" w:rsidR="00FD0A69" w:rsidRPr="0015349C" w:rsidRDefault="1E9F7FC8" w:rsidP="1B1157DA">
            <w:pPr>
              <w:spacing w:after="40"/>
              <w:ind w:left="-20" w:right="-20"/>
              <w:rPr>
                <w:rFonts w:eastAsia="Arial" w:cs="Arial"/>
                <w:color w:val="000000" w:themeColor="text1"/>
                <w:szCs w:val="24"/>
              </w:rPr>
            </w:pPr>
            <w:r w:rsidRPr="1B1157DA">
              <w:rPr>
                <w:rFonts w:eastAsia="Arial" w:cs="Arial"/>
                <w:color w:val="000000" w:themeColor="text1"/>
                <w:szCs w:val="24"/>
              </w:rPr>
              <w:t xml:space="preserve">The ICB welcomes the introduction of Pharmacy First and the roll out of the national scheme from 1 February across BOB.  The scheme allows community pharmacists to see and treat patients with one of 7 clinical conditions who meet nationally defined criteria.  This should provide alternative access for patients and relieve some pressure on General practice.  </w:t>
            </w:r>
          </w:p>
          <w:p w14:paraId="357E0B47" w14:textId="5F73BB83" w:rsidR="00FD0A69" w:rsidRPr="0015349C" w:rsidRDefault="1E9F7FC8" w:rsidP="1B1157DA">
            <w:pPr>
              <w:spacing w:after="40"/>
              <w:ind w:left="-20" w:right="-20"/>
              <w:rPr>
                <w:rFonts w:eastAsia="Arial" w:cs="Arial"/>
                <w:color w:val="000000" w:themeColor="text1"/>
                <w:szCs w:val="24"/>
              </w:rPr>
            </w:pPr>
            <w:r w:rsidRPr="1B1157DA">
              <w:rPr>
                <w:rFonts w:eastAsia="Arial" w:cs="Arial"/>
                <w:color w:val="000000" w:themeColor="text1"/>
                <w:szCs w:val="24"/>
              </w:rPr>
              <w:t xml:space="preserve"> </w:t>
            </w:r>
          </w:p>
          <w:p w14:paraId="740B5E12" w14:textId="3E5EAF3E" w:rsidR="00FD0A69" w:rsidRPr="0015349C" w:rsidRDefault="6AD11283" w:rsidP="1B1157DA">
            <w:pPr>
              <w:spacing w:after="40"/>
              <w:ind w:left="-20" w:right="-20"/>
              <w:rPr>
                <w:rFonts w:eastAsia="Arial" w:cs="Arial"/>
                <w:color w:val="000000" w:themeColor="text1"/>
              </w:rPr>
            </w:pPr>
            <w:r w:rsidRPr="0B3C5172">
              <w:rPr>
                <w:rFonts w:eastAsia="Arial" w:cs="Arial"/>
                <w:color w:val="000000" w:themeColor="text1"/>
              </w:rPr>
              <w:t>BOB General practice delivers about 11 million appointments each year and the Pharmacy First scheme will contribute another 300,000 appointments (BOB’s share of the 12</w:t>
            </w:r>
            <w:r w:rsidR="1D1E43CA" w:rsidRPr="0B3C5172">
              <w:rPr>
                <w:rFonts w:eastAsia="Arial" w:cs="Arial"/>
                <w:color w:val="000000" w:themeColor="text1"/>
              </w:rPr>
              <w:t xml:space="preserve"> </w:t>
            </w:r>
            <w:r w:rsidR="0F9BD2B9" w:rsidRPr="0B3C5172">
              <w:rPr>
                <w:rFonts w:eastAsia="Arial" w:cs="Arial"/>
                <w:color w:val="000000" w:themeColor="text1"/>
              </w:rPr>
              <w:t>million</w:t>
            </w:r>
            <w:r w:rsidR="39EE19FB" w:rsidRPr="0B3C5172">
              <w:rPr>
                <w:rFonts w:eastAsia="Arial" w:cs="Arial"/>
                <w:color w:val="000000" w:themeColor="text1"/>
              </w:rPr>
              <w:t>).</w:t>
            </w:r>
            <w:r w:rsidRPr="0B3C5172">
              <w:rPr>
                <w:rFonts w:eastAsia="Arial" w:cs="Arial"/>
                <w:color w:val="000000" w:themeColor="text1"/>
              </w:rPr>
              <w:t xml:space="preserve">  Access to the service will be through 111, General Practice referral as well as patients attending pharmacy requesting support with their condition.  National communications to patients is expected in early summer when the service is better embedded.</w:t>
            </w:r>
          </w:p>
          <w:p w14:paraId="658CD794" w14:textId="3605D70A" w:rsidR="00FD0A69" w:rsidRPr="0015349C" w:rsidRDefault="1E9F7FC8" w:rsidP="1B1157DA">
            <w:pPr>
              <w:spacing w:after="40"/>
              <w:ind w:left="-20" w:right="-20"/>
              <w:rPr>
                <w:rFonts w:eastAsia="Arial" w:cs="Arial"/>
                <w:color w:val="000000" w:themeColor="text1"/>
                <w:szCs w:val="24"/>
              </w:rPr>
            </w:pPr>
            <w:r w:rsidRPr="1B1157DA">
              <w:rPr>
                <w:rFonts w:eastAsia="Arial" w:cs="Arial"/>
                <w:color w:val="000000" w:themeColor="text1"/>
                <w:szCs w:val="24"/>
              </w:rPr>
              <w:t xml:space="preserve"> </w:t>
            </w:r>
          </w:p>
          <w:p w14:paraId="70CC320C" w14:textId="11B94B43" w:rsidR="00FD0A69" w:rsidRPr="0015349C" w:rsidRDefault="1E9F7FC8" w:rsidP="4EF57CF3">
            <w:pPr>
              <w:spacing w:after="40"/>
              <w:rPr>
                <w:rFonts w:eastAsia="Arial" w:cs="Arial"/>
                <w:color w:val="000000" w:themeColor="text1"/>
                <w:szCs w:val="24"/>
              </w:rPr>
            </w:pPr>
            <w:r w:rsidRPr="1B1157DA">
              <w:rPr>
                <w:rFonts w:eastAsia="Arial" w:cs="Arial"/>
                <w:color w:val="000000" w:themeColor="text1"/>
                <w:szCs w:val="24"/>
              </w:rPr>
              <w:t>The Community Pharmacy Discharge Medication Service reviews medication for those patients recently discharged from hospital with the view to supporting patients with any medication changes to improve outcomes</w:t>
            </w:r>
            <w:r w:rsidR="6326C93B" w:rsidRPr="1B1157DA">
              <w:rPr>
                <w:rFonts w:eastAsia="Arial" w:cs="Arial"/>
                <w:color w:val="000000" w:themeColor="text1"/>
                <w:szCs w:val="24"/>
              </w:rPr>
              <w:t xml:space="preserve">, </w:t>
            </w:r>
            <w:r w:rsidRPr="1B1157DA">
              <w:rPr>
                <w:rFonts w:eastAsia="Arial" w:cs="Arial"/>
                <w:color w:val="000000" w:themeColor="text1"/>
                <w:szCs w:val="24"/>
              </w:rPr>
              <w:t xml:space="preserve">prevent harm and reduce readmissions.  The number of referrals into this scheme varies across hospitals with </w:t>
            </w:r>
            <w:r w:rsidR="18C3928E" w:rsidRPr="1B1157DA">
              <w:rPr>
                <w:rFonts w:eastAsia="Arial" w:cs="Arial"/>
                <w:color w:val="000000" w:themeColor="text1"/>
                <w:szCs w:val="24"/>
              </w:rPr>
              <w:t>several</w:t>
            </w:r>
            <w:r w:rsidRPr="1B1157DA">
              <w:rPr>
                <w:rFonts w:eastAsia="Arial" w:cs="Arial"/>
                <w:color w:val="000000" w:themeColor="text1"/>
                <w:szCs w:val="24"/>
              </w:rPr>
              <w:t xml:space="preserve"> hospitals across </w:t>
            </w:r>
            <w:r w:rsidRPr="1B1157DA">
              <w:rPr>
                <w:rFonts w:eastAsia="Arial" w:cs="Arial"/>
                <w:color w:val="000000" w:themeColor="text1"/>
                <w:szCs w:val="24"/>
              </w:rPr>
              <w:lastRenderedPageBreak/>
              <w:t>the country yet to implement the scheme.  The OUH has recently relaunched their referral scheme and a working group is looking to review any barriers and challenges to referral.</w:t>
            </w:r>
          </w:p>
        </w:tc>
      </w:tr>
    </w:tbl>
    <w:p w14:paraId="3E384144" w14:textId="0F2CAB38" w:rsidR="00FD0A69" w:rsidRPr="004A45F2" w:rsidRDefault="00FD0A69">
      <w:pPr>
        <w:rPr>
          <w:sz w:val="14"/>
          <w:szCs w:val="14"/>
        </w:rPr>
      </w:pPr>
    </w:p>
    <w:tbl>
      <w:tblPr>
        <w:tblStyle w:val="TableGrid"/>
        <w:tblW w:w="11057" w:type="dxa"/>
        <w:tblInd w:w="-856" w:type="dxa"/>
        <w:tblLayout w:type="fixed"/>
        <w:tblLook w:val="04A0" w:firstRow="1" w:lastRow="0" w:firstColumn="1" w:lastColumn="0" w:noHBand="0" w:noVBand="1"/>
      </w:tblPr>
      <w:tblGrid>
        <w:gridCol w:w="1277"/>
        <w:gridCol w:w="9780"/>
      </w:tblGrid>
      <w:tr w:rsidR="00633E00" w:rsidRPr="00BD24CD" w14:paraId="5200929F" w14:textId="77777777" w:rsidTr="4EF57CF3">
        <w:tc>
          <w:tcPr>
            <w:tcW w:w="1277" w:type="dxa"/>
            <w:shd w:val="clear" w:color="auto" w:fill="F2F2F2" w:themeFill="background1" w:themeFillShade="F2"/>
          </w:tcPr>
          <w:p w14:paraId="7CE635ED" w14:textId="77777777" w:rsidR="00633E00" w:rsidRDefault="00633E00">
            <w:pPr>
              <w:spacing w:before="40" w:after="40"/>
              <w:rPr>
                <w:rFonts w:cs="Arial"/>
                <w:b/>
                <w:bCs/>
                <w:sz w:val="22"/>
              </w:rPr>
            </w:pPr>
            <w:r w:rsidRPr="00BD24CD">
              <w:rPr>
                <w:rFonts w:cs="Arial"/>
                <w:b/>
                <w:bCs/>
                <w:sz w:val="22"/>
              </w:rPr>
              <w:t xml:space="preserve">No. </w:t>
            </w:r>
            <w:r w:rsidR="000118E2">
              <w:rPr>
                <w:rFonts w:cs="Arial"/>
                <w:b/>
                <w:bCs/>
                <w:sz w:val="22"/>
              </w:rPr>
              <w:t>3</w:t>
            </w:r>
          </w:p>
          <w:p w14:paraId="76D9D30C" w14:textId="3C7866E4" w:rsidR="000118E2" w:rsidRPr="000118E2" w:rsidRDefault="28EA3B5F" w:rsidP="4EF57CF3">
            <w:pPr>
              <w:spacing w:before="40" w:after="40"/>
              <w:rPr>
                <w:rFonts w:cs="Arial"/>
                <w:sz w:val="22"/>
              </w:rPr>
            </w:pPr>
            <w:r w:rsidRPr="4EF57CF3">
              <w:rPr>
                <w:rFonts w:cs="Arial"/>
                <w:sz w:val="22"/>
              </w:rPr>
              <w:t xml:space="preserve">(Item </w:t>
            </w:r>
            <w:r w:rsidR="00D2263B" w:rsidRPr="4EF57CF3">
              <w:rPr>
                <w:rFonts w:cs="Arial"/>
                <w:sz w:val="22"/>
              </w:rPr>
              <w:t>1</w:t>
            </w:r>
            <w:r w:rsidR="71364776" w:rsidRPr="4EF57CF3">
              <w:rPr>
                <w:rFonts w:cs="Arial"/>
                <w:sz w:val="22"/>
              </w:rPr>
              <w:t>6</w:t>
            </w:r>
            <w:r w:rsidRPr="4EF57CF3">
              <w:rPr>
                <w:rFonts w:cs="Arial"/>
                <w:sz w:val="22"/>
              </w:rPr>
              <w:t>)</w:t>
            </w:r>
          </w:p>
        </w:tc>
        <w:tc>
          <w:tcPr>
            <w:tcW w:w="9780" w:type="dxa"/>
            <w:shd w:val="clear" w:color="auto" w:fill="F2F2F2" w:themeFill="background1" w:themeFillShade="F2"/>
          </w:tcPr>
          <w:p w14:paraId="06C66748" w14:textId="7CBCF0E0" w:rsidR="00CA7D38" w:rsidRPr="00D96EFA" w:rsidRDefault="3370031E" w:rsidP="00B5539D">
            <w:pPr>
              <w:spacing w:after="120"/>
            </w:pPr>
            <w:r w:rsidRPr="4EF57CF3">
              <w:t xml:space="preserve">There seems to be little or no challenge taking a patient perspective from non-executive directors at Board meetings.  Will the Board chair appoint or designate one of the non-executive directors as responsible for representing patient/public opinion? </w:t>
            </w:r>
          </w:p>
          <w:p w14:paraId="23DF8BBD" w14:textId="4E8BCB93" w:rsidR="00CA7D38" w:rsidRPr="00D96EFA" w:rsidRDefault="3370031E" w:rsidP="4EF57CF3">
            <w:pPr>
              <w:spacing w:after="40"/>
            </w:pPr>
            <w:r w:rsidRPr="4EF57CF3">
              <w:rPr>
                <w:i/>
                <w:iCs/>
              </w:rPr>
              <w:t>Question submitted by Mike Etkind</w:t>
            </w:r>
          </w:p>
        </w:tc>
      </w:tr>
      <w:tr w:rsidR="00633E00" w:rsidRPr="00BD24CD" w14:paraId="6F4C638F" w14:textId="77777777" w:rsidTr="4EF57CF3">
        <w:tc>
          <w:tcPr>
            <w:tcW w:w="1277" w:type="dxa"/>
            <w:shd w:val="clear" w:color="auto" w:fill="auto"/>
          </w:tcPr>
          <w:p w14:paraId="7B05CA1B" w14:textId="7FFE545D" w:rsidR="00633E00" w:rsidRPr="00BD24CD" w:rsidRDefault="64FC3EC5" w:rsidP="4EF57CF3">
            <w:pPr>
              <w:spacing w:before="40" w:after="40"/>
              <w:rPr>
                <w:rFonts w:cs="Arial"/>
                <w:b/>
                <w:bCs/>
                <w:sz w:val="22"/>
              </w:rPr>
            </w:pPr>
            <w:r w:rsidRPr="714377EE">
              <w:rPr>
                <w:rFonts w:cs="Arial"/>
                <w:b/>
                <w:bCs/>
                <w:sz w:val="22"/>
              </w:rPr>
              <w:t>Response</w:t>
            </w:r>
          </w:p>
        </w:tc>
        <w:tc>
          <w:tcPr>
            <w:tcW w:w="9780" w:type="dxa"/>
            <w:shd w:val="clear" w:color="auto" w:fill="auto"/>
          </w:tcPr>
          <w:p w14:paraId="09B491DC" w14:textId="2A14060C" w:rsidR="00927181" w:rsidRPr="00C43BC1" w:rsidRDefault="64FC3EC5" w:rsidP="4EF57CF3">
            <w:pPr>
              <w:rPr>
                <w:color w:val="000000" w:themeColor="text1"/>
              </w:rPr>
            </w:pPr>
            <w:r w:rsidRPr="714377EE">
              <w:rPr>
                <w:color w:val="000000" w:themeColor="text1"/>
              </w:rPr>
              <w:t xml:space="preserve">The Chair acknowledged this was a good challenge and would reflect on the best way to ensure that a patient/public perspective was embedded in the board discussions. </w:t>
            </w:r>
          </w:p>
        </w:tc>
      </w:tr>
    </w:tbl>
    <w:p w14:paraId="4CAB498C" w14:textId="14FD2D53" w:rsidR="714377EE" w:rsidRDefault="714377EE" w:rsidP="714377EE">
      <w:pPr>
        <w:rPr>
          <w:sz w:val="14"/>
          <w:szCs w:val="14"/>
        </w:rPr>
      </w:pPr>
    </w:p>
    <w:p w14:paraId="12062B8B" w14:textId="180C4616" w:rsidR="714377EE" w:rsidRDefault="714377EE" w:rsidP="714377EE">
      <w:pPr>
        <w:rPr>
          <w:sz w:val="14"/>
          <w:szCs w:val="14"/>
        </w:rPr>
      </w:pPr>
    </w:p>
    <w:p w14:paraId="5B591760" w14:textId="7DD1E2F1" w:rsidR="0A54AE35" w:rsidRDefault="0A54AE35" w:rsidP="714377EE">
      <w:pPr>
        <w:spacing w:line="259" w:lineRule="auto"/>
        <w:rPr>
          <w:szCs w:val="24"/>
        </w:rPr>
      </w:pPr>
      <w:r w:rsidRPr="714377EE">
        <w:rPr>
          <w:szCs w:val="24"/>
        </w:rPr>
        <w:t xml:space="preserve">These questions were submitted whilst the Board meeting was taking </w:t>
      </w:r>
      <w:r w:rsidR="2A8539D8" w:rsidRPr="714377EE">
        <w:rPr>
          <w:szCs w:val="24"/>
        </w:rPr>
        <w:t>place,</w:t>
      </w:r>
      <w:r w:rsidRPr="714377EE">
        <w:rPr>
          <w:szCs w:val="24"/>
        </w:rPr>
        <w:t xml:space="preserve"> so </w:t>
      </w:r>
      <w:r w:rsidR="70656DC2" w:rsidRPr="714377EE">
        <w:rPr>
          <w:szCs w:val="24"/>
        </w:rPr>
        <w:t xml:space="preserve">we were unable to answer them during the meeting.  </w:t>
      </w:r>
    </w:p>
    <w:tbl>
      <w:tblPr>
        <w:tblStyle w:val="TableGrid"/>
        <w:tblW w:w="11057" w:type="dxa"/>
        <w:tblInd w:w="-856" w:type="dxa"/>
        <w:tblLook w:val="04A0" w:firstRow="1" w:lastRow="0" w:firstColumn="1" w:lastColumn="0" w:noHBand="0" w:noVBand="1"/>
      </w:tblPr>
      <w:tblGrid>
        <w:gridCol w:w="1276"/>
        <w:gridCol w:w="9781"/>
      </w:tblGrid>
      <w:tr w:rsidR="714377EE" w14:paraId="39A4A818" w14:textId="77777777" w:rsidTr="009F5F42">
        <w:trPr>
          <w:trHeight w:val="300"/>
        </w:trPr>
        <w:tc>
          <w:tcPr>
            <w:tcW w:w="1276" w:type="dxa"/>
            <w:shd w:val="clear" w:color="auto" w:fill="F2F2F2" w:themeFill="background1" w:themeFillShade="F2"/>
          </w:tcPr>
          <w:p w14:paraId="3727C32E" w14:textId="5A71DE9D" w:rsidR="714377EE" w:rsidRDefault="714377EE" w:rsidP="714377EE">
            <w:pPr>
              <w:spacing w:before="40" w:after="40"/>
              <w:rPr>
                <w:rFonts w:cs="Arial"/>
                <w:b/>
                <w:bCs/>
                <w:sz w:val="22"/>
              </w:rPr>
            </w:pPr>
            <w:r w:rsidRPr="714377EE">
              <w:rPr>
                <w:rFonts w:cs="Arial"/>
                <w:b/>
                <w:bCs/>
                <w:sz w:val="22"/>
              </w:rPr>
              <w:t xml:space="preserve">No. </w:t>
            </w:r>
            <w:r w:rsidR="09D7AC71" w:rsidRPr="714377EE">
              <w:rPr>
                <w:rFonts w:cs="Arial"/>
                <w:b/>
                <w:bCs/>
                <w:sz w:val="22"/>
              </w:rPr>
              <w:t>4</w:t>
            </w:r>
          </w:p>
          <w:p w14:paraId="43BA0B99" w14:textId="5189E01C" w:rsidR="714377EE" w:rsidRDefault="714377EE" w:rsidP="714377EE">
            <w:pPr>
              <w:spacing w:before="40" w:after="40"/>
              <w:rPr>
                <w:rFonts w:cs="Arial"/>
                <w:sz w:val="22"/>
              </w:rPr>
            </w:pPr>
            <w:r w:rsidRPr="714377EE">
              <w:rPr>
                <w:rFonts w:cs="Arial"/>
                <w:sz w:val="22"/>
              </w:rPr>
              <w:t xml:space="preserve">(Item </w:t>
            </w:r>
            <w:r w:rsidR="094B9DC3" w:rsidRPr="714377EE">
              <w:rPr>
                <w:rFonts w:cs="Arial"/>
                <w:sz w:val="22"/>
              </w:rPr>
              <w:t>6</w:t>
            </w:r>
            <w:r w:rsidRPr="714377EE">
              <w:rPr>
                <w:rFonts w:cs="Arial"/>
                <w:sz w:val="22"/>
              </w:rPr>
              <w:t>)</w:t>
            </w:r>
          </w:p>
        </w:tc>
        <w:tc>
          <w:tcPr>
            <w:tcW w:w="9781" w:type="dxa"/>
            <w:shd w:val="clear" w:color="auto" w:fill="F2F2F2" w:themeFill="background1" w:themeFillShade="F2"/>
          </w:tcPr>
          <w:p w14:paraId="694BC089" w14:textId="5869EAAB" w:rsidR="23DD2C0F" w:rsidRDefault="23DD2C0F" w:rsidP="714377EE">
            <w:pPr>
              <w:spacing w:before="40" w:after="40"/>
              <w:rPr>
                <w:rFonts w:eastAsia="Arial" w:cs="Arial"/>
                <w:szCs w:val="24"/>
              </w:rPr>
            </w:pPr>
            <w:r w:rsidRPr="714377EE">
              <w:rPr>
                <w:rFonts w:eastAsia="Arial" w:cs="Arial"/>
                <w:szCs w:val="24"/>
              </w:rPr>
              <w:t>In respect of the patient story re Onward Care - doesn't this show deficiencies in the Social Care model currently used?</w:t>
            </w:r>
          </w:p>
          <w:p w14:paraId="5074828A" w14:textId="158D89A6" w:rsidR="714377EE" w:rsidRDefault="714377EE" w:rsidP="714377EE">
            <w:pPr>
              <w:spacing w:before="40" w:after="40"/>
              <w:rPr>
                <w:rFonts w:eastAsia="Arial" w:cs="Arial"/>
                <w:szCs w:val="24"/>
              </w:rPr>
            </w:pPr>
          </w:p>
          <w:p w14:paraId="17A7AEF4" w14:textId="65EB4201" w:rsidR="714377EE" w:rsidRDefault="714377EE" w:rsidP="714377EE">
            <w:pPr>
              <w:spacing w:before="40" w:after="40"/>
            </w:pPr>
            <w:r w:rsidRPr="714377EE">
              <w:rPr>
                <w:i/>
                <w:iCs/>
              </w:rPr>
              <w:t>Question submitted by Tom Lake</w:t>
            </w:r>
          </w:p>
        </w:tc>
      </w:tr>
      <w:tr w:rsidR="714377EE" w14:paraId="41B945FC" w14:textId="77777777" w:rsidTr="009F5F42">
        <w:trPr>
          <w:trHeight w:val="300"/>
        </w:trPr>
        <w:tc>
          <w:tcPr>
            <w:tcW w:w="1276" w:type="dxa"/>
            <w:shd w:val="clear" w:color="auto" w:fill="auto"/>
          </w:tcPr>
          <w:p w14:paraId="78DCA4E7" w14:textId="207D694D" w:rsidR="714377EE" w:rsidRDefault="714377EE" w:rsidP="714377EE">
            <w:pPr>
              <w:spacing w:before="40" w:after="40"/>
              <w:rPr>
                <w:rFonts w:cs="Arial"/>
                <w:b/>
                <w:bCs/>
                <w:sz w:val="16"/>
                <w:szCs w:val="16"/>
              </w:rPr>
            </w:pPr>
            <w:r w:rsidRPr="714377EE">
              <w:rPr>
                <w:rFonts w:cs="Arial"/>
                <w:b/>
                <w:bCs/>
                <w:sz w:val="22"/>
              </w:rPr>
              <w:t>Response</w:t>
            </w:r>
          </w:p>
        </w:tc>
        <w:tc>
          <w:tcPr>
            <w:tcW w:w="9781" w:type="dxa"/>
            <w:shd w:val="clear" w:color="auto" w:fill="auto"/>
          </w:tcPr>
          <w:p w14:paraId="5399E27D" w14:textId="7E66F979" w:rsidR="714377EE" w:rsidRDefault="002525B3" w:rsidP="714377EE">
            <w:pPr>
              <w:spacing w:after="120"/>
            </w:pPr>
            <w:r w:rsidRPr="0B3C5172">
              <w:t xml:space="preserve">This story highlights that </w:t>
            </w:r>
            <w:r w:rsidR="00CB174F" w:rsidRPr="0B3C5172">
              <w:t xml:space="preserve">there are a range of support </w:t>
            </w:r>
            <w:r w:rsidR="0033369E" w:rsidRPr="0B3C5172">
              <w:t>need</w:t>
            </w:r>
            <w:r w:rsidR="00CB174F" w:rsidRPr="0B3C5172">
              <w:t xml:space="preserve">s that </w:t>
            </w:r>
            <w:r w:rsidR="001D459E" w:rsidRPr="0B3C5172">
              <w:t xml:space="preserve">individuals may have to </w:t>
            </w:r>
            <w:r w:rsidR="000B1F34" w:rsidRPr="0B3C5172">
              <w:t>promote</w:t>
            </w:r>
            <w:r w:rsidR="00236FCD" w:rsidRPr="0B3C5172">
              <w:t xml:space="preserve"> confidence and </w:t>
            </w:r>
            <w:r w:rsidR="000B1F34" w:rsidRPr="0B3C5172">
              <w:t>independence</w:t>
            </w:r>
            <w:r w:rsidR="1BD456E6" w:rsidRPr="0B3C5172">
              <w:t xml:space="preserve"> </w:t>
            </w:r>
            <w:r w:rsidR="25586D0A" w:rsidRPr="0B3C5172">
              <w:t>following</w:t>
            </w:r>
            <w:r w:rsidR="1BD456E6" w:rsidRPr="0B3C5172">
              <w:t xml:space="preserve"> a hospital admission</w:t>
            </w:r>
            <w:r w:rsidR="004631D1" w:rsidRPr="0B3C5172">
              <w:t xml:space="preserve">.  As highlighted in the story this is a non-clinical </w:t>
            </w:r>
            <w:r w:rsidR="00236FCD" w:rsidRPr="0B3C5172">
              <w:t>service</w:t>
            </w:r>
            <w:r w:rsidR="00D37FDF" w:rsidRPr="0B3C5172">
              <w:t xml:space="preserve"> and the support is tailored to individual needs</w:t>
            </w:r>
            <w:r w:rsidR="00236FCD" w:rsidRPr="0B3C5172">
              <w:t xml:space="preserve">.  </w:t>
            </w:r>
          </w:p>
        </w:tc>
      </w:tr>
    </w:tbl>
    <w:p w14:paraId="197CC1CB" w14:textId="017B2D77" w:rsidR="714377EE" w:rsidRDefault="714377EE" w:rsidP="714377EE">
      <w:pPr>
        <w:spacing w:line="259" w:lineRule="auto"/>
        <w:rPr>
          <w:szCs w:val="24"/>
        </w:rPr>
      </w:pPr>
    </w:p>
    <w:p w14:paraId="19C3FDB4" w14:textId="48A4A043" w:rsidR="003322B4" w:rsidRDefault="003322B4" w:rsidP="714377EE">
      <w:pPr>
        <w:spacing w:line="259" w:lineRule="auto"/>
        <w:rPr>
          <w:szCs w:val="24"/>
        </w:rPr>
      </w:pPr>
    </w:p>
    <w:tbl>
      <w:tblPr>
        <w:tblStyle w:val="TableGrid"/>
        <w:tblW w:w="11057" w:type="dxa"/>
        <w:tblInd w:w="-856" w:type="dxa"/>
        <w:tblLayout w:type="fixed"/>
        <w:tblLook w:val="04A0" w:firstRow="1" w:lastRow="0" w:firstColumn="1" w:lastColumn="0" w:noHBand="0" w:noVBand="1"/>
      </w:tblPr>
      <w:tblGrid>
        <w:gridCol w:w="1277"/>
        <w:gridCol w:w="9780"/>
      </w:tblGrid>
      <w:tr w:rsidR="003322B4" w:rsidRPr="00BD24CD" w14:paraId="75F07490" w14:textId="77777777" w:rsidTr="2CEF2FDA">
        <w:tc>
          <w:tcPr>
            <w:tcW w:w="1277" w:type="dxa"/>
            <w:shd w:val="clear" w:color="auto" w:fill="F2F2F2" w:themeFill="background1" w:themeFillShade="F2"/>
          </w:tcPr>
          <w:p w14:paraId="36C7E77B" w14:textId="590C96B4" w:rsidR="003322B4" w:rsidRDefault="003322B4" w:rsidP="000739D0">
            <w:pPr>
              <w:spacing w:before="40" w:after="40"/>
              <w:rPr>
                <w:rFonts w:cs="Arial"/>
                <w:b/>
                <w:bCs/>
                <w:sz w:val="22"/>
              </w:rPr>
            </w:pPr>
            <w:r w:rsidRPr="00BD24CD">
              <w:rPr>
                <w:rFonts w:cs="Arial"/>
                <w:b/>
                <w:bCs/>
                <w:sz w:val="22"/>
              </w:rPr>
              <w:t xml:space="preserve">No. </w:t>
            </w:r>
            <w:r w:rsidR="7A0ECF5E" w:rsidRPr="714377EE">
              <w:rPr>
                <w:rFonts w:cs="Arial"/>
                <w:b/>
                <w:bCs/>
                <w:sz w:val="22"/>
              </w:rPr>
              <w:t>5</w:t>
            </w:r>
          </w:p>
          <w:p w14:paraId="73ABBDBC" w14:textId="0D66F4B9" w:rsidR="003322B4" w:rsidRPr="00BD24CD" w:rsidRDefault="003322B4" w:rsidP="000739D0">
            <w:pPr>
              <w:spacing w:before="40" w:after="40"/>
              <w:rPr>
                <w:rFonts w:cs="Arial"/>
                <w:b/>
                <w:bCs/>
                <w:sz w:val="22"/>
              </w:rPr>
            </w:pPr>
            <w:r w:rsidRPr="003322B4">
              <w:rPr>
                <w:rFonts w:cs="Arial"/>
                <w:sz w:val="22"/>
              </w:rPr>
              <w:t xml:space="preserve">(Item </w:t>
            </w:r>
            <w:r w:rsidR="2D806A89" w:rsidRPr="714377EE">
              <w:rPr>
                <w:rFonts w:cs="Arial"/>
                <w:sz w:val="22"/>
              </w:rPr>
              <w:t>11</w:t>
            </w:r>
            <w:r w:rsidRPr="003322B4">
              <w:rPr>
                <w:rFonts w:cs="Arial"/>
                <w:sz w:val="22"/>
              </w:rPr>
              <w:t>)</w:t>
            </w:r>
          </w:p>
        </w:tc>
        <w:tc>
          <w:tcPr>
            <w:tcW w:w="9780" w:type="dxa"/>
            <w:shd w:val="clear" w:color="auto" w:fill="F2F2F2" w:themeFill="background1" w:themeFillShade="F2"/>
          </w:tcPr>
          <w:p w14:paraId="7F9C6982" w14:textId="7E5F0668" w:rsidR="003322B4" w:rsidRPr="00BD24CD" w:rsidRDefault="15AAAE0F" w:rsidP="714377EE">
            <w:pPr>
              <w:spacing w:before="40" w:after="40"/>
              <w:ind w:left="-20" w:right="-20"/>
              <w:rPr>
                <w:rFonts w:eastAsia="Arial" w:cs="Arial"/>
                <w:szCs w:val="24"/>
              </w:rPr>
            </w:pPr>
            <w:r w:rsidRPr="714377EE">
              <w:rPr>
                <w:rFonts w:eastAsia="Arial" w:cs="Arial"/>
                <w:szCs w:val="24"/>
              </w:rPr>
              <w:t>In respect of the planning framework, since the acute trusts (the most costly parts of the system) serve overlapping areas, how will a population-based framework for allocations work?  Isn't the only fair way an allocation retrospectively based on the relative cost of the work performed for each sub-area of the BOB area, using at least an indicative system of tariffs to estimate the burdens?</w:t>
            </w:r>
          </w:p>
          <w:p w14:paraId="17C0345A" w14:textId="2E0A7B30" w:rsidR="003322B4" w:rsidRPr="00BD24CD" w:rsidRDefault="15AAAE0F" w:rsidP="714377EE">
            <w:pPr>
              <w:spacing w:before="40" w:after="40"/>
              <w:rPr>
                <w:rFonts w:eastAsia="Arial" w:cs="Arial"/>
                <w:szCs w:val="24"/>
              </w:rPr>
            </w:pPr>
            <w:r w:rsidRPr="714377EE">
              <w:rPr>
                <w:rFonts w:eastAsia="Arial" w:cs="Arial"/>
                <w:szCs w:val="24"/>
              </w:rPr>
              <w:t>Or alternatively, will we have cross-charging of areas for work done for their residents?</w:t>
            </w:r>
          </w:p>
          <w:p w14:paraId="275BA53C" w14:textId="43582E10" w:rsidR="003322B4" w:rsidRPr="00BD24CD" w:rsidRDefault="003322B4" w:rsidP="714377EE">
            <w:pPr>
              <w:spacing w:before="40" w:after="40"/>
              <w:rPr>
                <w:rFonts w:eastAsia="Arial" w:cs="Arial"/>
                <w:szCs w:val="24"/>
              </w:rPr>
            </w:pPr>
          </w:p>
          <w:p w14:paraId="19914AD4" w14:textId="26855A78" w:rsidR="003322B4" w:rsidRPr="00BD24CD" w:rsidRDefault="1852AA92" w:rsidP="00D2263B">
            <w:pPr>
              <w:spacing w:before="40" w:after="40"/>
            </w:pPr>
            <w:r w:rsidRPr="714377EE">
              <w:rPr>
                <w:i/>
                <w:iCs/>
              </w:rPr>
              <w:t xml:space="preserve">Question submitted by Tom Lake </w:t>
            </w:r>
          </w:p>
        </w:tc>
      </w:tr>
      <w:tr w:rsidR="003322B4" w:rsidRPr="00BD24CD" w14:paraId="642E365D" w14:textId="77777777" w:rsidTr="2CEF2FDA">
        <w:tc>
          <w:tcPr>
            <w:tcW w:w="1277" w:type="dxa"/>
          </w:tcPr>
          <w:p w14:paraId="24B4B871" w14:textId="77777777" w:rsidR="003322B4" w:rsidRPr="00BD24CD" w:rsidRDefault="003322B4" w:rsidP="000739D0">
            <w:pPr>
              <w:spacing w:before="40" w:after="40"/>
              <w:rPr>
                <w:rFonts w:cs="Arial"/>
                <w:b/>
                <w:bCs/>
                <w:sz w:val="22"/>
              </w:rPr>
            </w:pPr>
            <w:r w:rsidRPr="00BD24CD">
              <w:rPr>
                <w:rFonts w:cs="Arial"/>
                <w:b/>
                <w:bCs/>
                <w:sz w:val="22"/>
              </w:rPr>
              <w:t>Response</w:t>
            </w:r>
          </w:p>
        </w:tc>
        <w:tc>
          <w:tcPr>
            <w:tcW w:w="9780" w:type="dxa"/>
          </w:tcPr>
          <w:p w14:paraId="441491E7" w14:textId="39809D69" w:rsidR="003322B4" w:rsidRPr="00DB7B86" w:rsidRDefault="004657A7" w:rsidP="2CEF2FDA">
            <w:pPr>
              <w:spacing w:before="40" w:after="40"/>
              <w:rPr>
                <w:rFonts w:eastAsia="Arial" w:cs="Arial"/>
              </w:rPr>
            </w:pPr>
            <w:r w:rsidRPr="2CEF2FDA">
              <w:rPr>
                <w:rFonts w:eastAsia="Arial" w:cs="Arial"/>
              </w:rPr>
              <w:t xml:space="preserve"> </w:t>
            </w:r>
            <w:r w:rsidR="2749272C" w:rsidRPr="2CEF2FDA">
              <w:rPr>
                <w:rFonts w:eastAsia="Arial" w:cs="Arial"/>
              </w:rPr>
              <w:t>A population-based framework for allocations may also be based on need not health care usage.  There has always been cross-boundary flow and we are able to analyse hospital usage based on where patients come from. There is much of the detail that remains open to agreement about how such mechanisms might work.</w:t>
            </w:r>
          </w:p>
        </w:tc>
      </w:tr>
    </w:tbl>
    <w:p w14:paraId="70CD3896" w14:textId="77777777" w:rsidR="003322B4" w:rsidRPr="0093471F" w:rsidRDefault="003322B4">
      <w:pPr>
        <w:rPr>
          <w:sz w:val="14"/>
          <w:szCs w:val="12"/>
        </w:rPr>
      </w:pPr>
    </w:p>
    <w:tbl>
      <w:tblPr>
        <w:tblStyle w:val="TableGrid"/>
        <w:tblW w:w="11057" w:type="dxa"/>
        <w:tblInd w:w="-856" w:type="dxa"/>
        <w:tblLayout w:type="fixed"/>
        <w:tblLook w:val="04A0" w:firstRow="1" w:lastRow="0" w:firstColumn="1" w:lastColumn="0" w:noHBand="0" w:noVBand="1"/>
      </w:tblPr>
      <w:tblGrid>
        <w:gridCol w:w="1277"/>
        <w:gridCol w:w="9780"/>
      </w:tblGrid>
      <w:tr w:rsidR="00CF5916" w:rsidRPr="00BD24CD" w14:paraId="298ED493" w14:textId="77777777" w:rsidTr="4EF57CF3">
        <w:tc>
          <w:tcPr>
            <w:tcW w:w="1277" w:type="dxa"/>
            <w:shd w:val="clear" w:color="auto" w:fill="F2F2F2" w:themeFill="background1" w:themeFillShade="F2"/>
          </w:tcPr>
          <w:p w14:paraId="12F2182C" w14:textId="3C3AD8C2" w:rsidR="00F32C6B" w:rsidRDefault="00F32C6B" w:rsidP="00B52BB6">
            <w:pPr>
              <w:spacing w:before="40" w:after="40"/>
              <w:rPr>
                <w:rFonts w:cs="Arial"/>
                <w:b/>
                <w:bCs/>
                <w:sz w:val="22"/>
              </w:rPr>
            </w:pPr>
            <w:r w:rsidRPr="00BD24CD">
              <w:rPr>
                <w:rFonts w:cs="Arial"/>
                <w:b/>
                <w:bCs/>
                <w:sz w:val="22"/>
              </w:rPr>
              <w:t>No.</w:t>
            </w:r>
            <w:r w:rsidR="00633E00">
              <w:rPr>
                <w:rFonts w:cs="Arial"/>
                <w:b/>
                <w:bCs/>
                <w:sz w:val="22"/>
              </w:rPr>
              <w:t xml:space="preserve"> </w:t>
            </w:r>
            <w:r w:rsidR="35770CBF" w:rsidRPr="714377EE">
              <w:rPr>
                <w:rFonts w:cs="Arial"/>
                <w:b/>
                <w:bCs/>
                <w:sz w:val="22"/>
              </w:rPr>
              <w:t>6</w:t>
            </w:r>
          </w:p>
          <w:p w14:paraId="6D9BE2CF" w14:textId="2A6F20BC" w:rsidR="004C6B44" w:rsidRPr="004C6B44" w:rsidRDefault="004C6B44" w:rsidP="4EF57CF3">
            <w:pPr>
              <w:spacing w:before="40" w:after="40"/>
              <w:rPr>
                <w:rFonts w:cs="Arial"/>
                <w:sz w:val="22"/>
              </w:rPr>
            </w:pPr>
            <w:r w:rsidRPr="4EF57CF3">
              <w:rPr>
                <w:rFonts w:cs="Arial"/>
                <w:sz w:val="22"/>
              </w:rPr>
              <w:t>(</w:t>
            </w:r>
            <w:r w:rsidR="4BD0FC9F" w:rsidRPr="4EF57CF3">
              <w:rPr>
                <w:rFonts w:cs="Arial"/>
                <w:sz w:val="22"/>
              </w:rPr>
              <w:t xml:space="preserve">Item </w:t>
            </w:r>
            <w:r w:rsidR="3540F1EA" w:rsidRPr="714377EE">
              <w:rPr>
                <w:rFonts w:cs="Arial"/>
                <w:sz w:val="22"/>
              </w:rPr>
              <w:t>11</w:t>
            </w:r>
            <w:r w:rsidRPr="4EF57CF3">
              <w:rPr>
                <w:rFonts w:cs="Arial"/>
                <w:sz w:val="22"/>
              </w:rPr>
              <w:t>)</w:t>
            </w:r>
          </w:p>
        </w:tc>
        <w:tc>
          <w:tcPr>
            <w:tcW w:w="9780" w:type="dxa"/>
            <w:shd w:val="clear" w:color="auto" w:fill="F2F2F2" w:themeFill="background1" w:themeFillShade="F2"/>
          </w:tcPr>
          <w:p w14:paraId="46F1A05D" w14:textId="1CBBB8C8" w:rsidR="0058376E" w:rsidRPr="0058376E" w:rsidRDefault="511D5653" w:rsidP="714377EE">
            <w:pPr>
              <w:spacing w:before="40" w:after="40"/>
              <w:rPr>
                <w:rFonts w:eastAsia="Arial" w:cs="Arial"/>
                <w:szCs w:val="24"/>
              </w:rPr>
            </w:pPr>
            <w:r w:rsidRPr="714377EE">
              <w:rPr>
                <w:rFonts w:eastAsia="Arial" w:cs="Arial"/>
                <w:szCs w:val="24"/>
              </w:rPr>
              <w:t>In respect of the planning framework, why does work on air quality not join work on smoking cessation?</w:t>
            </w:r>
          </w:p>
          <w:p w14:paraId="3BE207F7" w14:textId="158D89A6" w:rsidR="0058376E" w:rsidRPr="0058376E" w:rsidRDefault="0058376E" w:rsidP="714377EE">
            <w:pPr>
              <w:spacing w:before="40" w:after="40"/>
              <w:rPr>
                <w:rFonts w:eastAsia="Arial" w:cs="Arial"/>
                <w:szCs w:val="24"/>
              </w:rPr>
            </w:pPr>
          </w:p>
          <w:p w14:paraId="5FB122BF" w14:textId="49FC2CB8" w:rsidR="0058376E" w:rsidRPr="0058376E" w:rsidRDefault="511D5653" w:rsidP="4EF57CF3">
            <w:pPr>
              <w:spacing w:before="40" w:after="40"/>
            </w:pPr>
            <w:r w:rsidRPr="714377EE">
              <w:rPr>
                <w:i/>
                <w:iCs/>
              </w:rPr>
              <w:t>Question submitted by Tom Lake</w:t>
            </w:r>
          </w:p>
        </w:tc>
      </w:tr>
      <w:tr w:rsidR="00D2263B" w:rsidRPr="00BD24CD" w14:paraId="47284F62" w14:textId="77777777" w:rsidTr="4EF57CF3">
        <w:tc>
          <w:tcPr>
            <w:tcW w:w="1277" w:type="dxa"/>
            <w:shd w:val="clear" w:color="auto" w:fill="auto"/>
          </w:tcPr>
          <w:p w14:paraId="677DE76A" w14:textId="207D694D" w:rsidR="00D2263B" w:rsidRPr="002260C7" w:rsidRDefault="00D2263B" w:rsidP="00D2263B">
            <w:pPr>
              <w:spacing w:before="40" w:after="40"/>
              <w:rPr>
                <w:rFonts w:cs="Arial"/>
                <w:b/>
                <w:bCs/>
                <w:sz w:val="16"/>
                <w:szCs w:val="16"/>
              </w:rPr>
            </w:pPr>
            <w:bookmarkStart w:id="0" w:name="_Hlk140510254"/>
            <w:r w:rsidRPr="00BD24CD">
              <w:rPr>
                <w:rFonts w:cs="Arial"/>
                <w:b/>
                <w:bCs/>
                <w:sz w:val="22"/>
              </w:rPr>
              <w:t>Response</w:t>
            </w:r>
          </w:p>
        </w:tc>
        <w:tc>
          <w:tcPr>
            <w:tcW w:w="9780" w:type="dxa"/>
            <w:shd w:val="clear" w:color="auto" w:fill="auto"/>
          </w:tcPr>
          <w:p w14:paraId="4B32E083" w14:textId="6501F6A3" w:rsidR="0059489C" w:rsidRPr="0059489C" w:rsidRDefault="0059489C" w:rsidP="0059489C">
            <w:pPr>
              <w:spacing w:after="120"/>
              <w:rPr>
                <w:color w:val="000000" w:themeColor="text1"/>
                <w:szCs w:val="24"/>
              </w:rPr>
            </w:pPr>
            <w:r w:rsidRPr="0059489C">
              <w:rPr>
                <w:color w:val="000000" w:themeColor="text1"/>
                <w:szCs w:val="24"/>
              </w:rPr>
              <w:t xml:space="preserve">The paper included details of the financial, operational and strategic planning processes and draft priorities. Collectively these build on previously published local and national plans, including the BOB NHS Joint Forward Plan, Integrated Care Strategy and published national guidance for NHS operational planning.  </w:t>
            </w:r>
          </w:p>
          <w:p w14:paraId="79DBDCED" w14:textId="1837BF75" w:rsidR="0059489C" w:rsidRPr="0059489C" w:rsidRDefault="0059489C" w:rsidP="0059489C">
            <w:pPr>
              <w:spacing w:after="120"/>
              <w:rPr>
                <w:color w:val="000000" w:themeColor="text1"/>
                <w:szCs w:val="24"/>
              </w:rPr>
            </w:pPr>
            <w:r w:rsidRPr="0059489C">
              <w:rPr>
                <w:color w:val="000000" w:themeColor="text1"/>
                <w:szCs w:val="24"/>
              </w:rPr>
              <w:t>The reference to smoking cessation in the section relating to the draft system goals links to the ICB</w:t>
            </w:r>
            <w:r w:rsidR="005C0244">
              <w:rPr>
                <w:color w:val="000000" w:themeColor="text1"/>
                <w:szCs w:val="24"/>
              </w:rPr>
              <w:t>’</w:t>
            </w:r>
            <w:r w:rsidRPr="0059489C">
              <w:rPr>
                <w:color w:val="000000" w:themeColor="text1"/>
                <w:szCs w:val="24"/>
              </w:rPr>
              <w:t>s ambition to do more to prevent avoidable strokes and heart attacks. It proposes acute trusts target their smoking cessation support resources in stroke and cardiac wards. The rationale for this proposed intervention is that the activity directly and specifically targets the people at greatest risk of a stroke or cardiac event. The precise targeting of the smoking cessation resource will lead to the greatest likely impact of improved outcomes from the limited resource, and therefore a reduction in subsequent complications and the corresponding care and support needs.</w:t>
            </w:r>
          </w:p>
          <w:p w14:paraId="6423A971" w14:textId="3D9F0D9B" w:rsidR="00D2263B" w:rsidRPr="006E5542" w:rsidRDefault="0059489C" w:rsidP="4EF57CF3">
            <w:pPr>
              <w:spacing w:after="120"/>
              <w:rPr>
                <w:color w:val="FF0000"/>
                <w:szCs w:val="24"/>
              </w:rPr>
            </w:pPr>
            <w:r w:rsidRPr="0059489C">
              <w:rPr>
                <w:color w:val="000000" w:themeColor="text1"/>
                <w:szCs w:val="24"/>
              </w:rPr>
              <w:t>Our system aspirations relating</w:t>
            </w:r>
            <w:r w:rsidR="001F560F">
              <w:rPr>
                <w:color w:val="000000" w:themeColor="text1"/>
                <w:szCs w:val="24"/>
              </w:rPr>
              <w:t xml:space="preserve"> to</w:t>
            </w:r>
            <w:r w:rsidRPr="0059489C">
              <w:rPr>
                <w:color w:val="000000" w:themeColor="text1"/>
                <w:szCs w:val="24"/>
              </w:rPr>
              <w:t xml:space="preserve"> improved air quality remain important to the ICB and our partner organisations. Each of our NHS organisations and Local Authorities in BOB </w:t>
            </w:r>
            <w:r w:rsidRPr="0059489C">
              <w:rPr>
                <w:color w:val="000000" w:themeColor="text1"/>
                <w:szCs w:val="24"/>
              </w:rPr>
              <w:lastRenderedPageBreak/>
              <w:t xml:space="preserve">have a net zero action plan that aims to deliver specific ambitions; for the NHS organisations these relate directly to the goals of the NHS Green Programme. Within BOB there are already some exemplary partnerships forming to improve air quality in local areas, notably in Oxford City where a zero emissions zone has already been introduced. A system wide Travel and Transport Group has been set up with local partners to identify ways in which initiatives can be shared and scaled across BOB to reduce our emissions. These activities are already documented as local priorities and will continue to be managed through local plans and partnerships. Therefore, while remaining important to achieve across the system the Net Zero ambitions have not been pulled forward as one of the system goals for 2024/25.  </w:t>
            </w:r>
          </w:p>
        </w:tc>
      </w:tr>
    </w:tbl>
    <w:p w14:paraId="279997DE" w14:textId="4A63E57B" w:rsidR="004A7296" w:rsidRPr="0076746C" w:rsidRDefault="004A7296">
      <w:pPr>
        <w:rPr>
          <w:sz w:val="14"/>
          <w:szCs w:val="12"/>
        </w:rPr>
      </w:pPr>
    </w:p>
    <w:tbl>
      <w:tblPr>
        <w:tblStyle w:val="TableGrid"/>
        <w:tblW w:w="11057" w:type="dxa"/>
        <w:tblInd w:w="-856" w:type="dxa"/>
        <w:tblLook w:val="04A0" w:firstRow="1" w:lastRow="0" w:firstColumn="1" w:lastColumn="0" w:noHBand="0" w:noVBand="1"/>
      </w:tblPr>
      <w:tblGrid>
        <w:gridCol w:w="1276"/>
        <w:gridCol w:w="9781"/>
      </w:tblGrid>
      <w:tr w:rsidR="714377EE" w14:paraId="00D5963C" w14:textId="77777777" w:rsidTr="009F5F42">
        <w:trPr>
          <w:trHeight w:val="300"/>
        </w:trPr>
        <w:tc>
          <w:tcPr>
            <w:tcW w:w="1276" w:type="dxa"/>
            <w:shd w:val="clear" w:color="auto" w:fill="F2F2F2" w:themeFill="background1" w:themeFillShade="F2"/>
          </w:tcPr>
          <w:bookmarkEnd w:id="0"/>
          <w:p w14:paraId="55AB63F4" w14:textId="70907C3F" w:rsidR="714377EE" w:rsidRDefault="714377EE" w:rsidP="714377EE">
            <w:pPr>
              <w:spacing w:before="40" w:after="40"/>
              <w:rPr>
                <w:rFonts w:cs="Arial"/>
                <w:b/>
                <w:bCs/>
                <w:sz w:val="22"/>
              </w:rPr>
            </w:pPr>
            <w:r w:rsidRPr="714377EE">
              <w:rPr>
                <w:rFonts w:cs="Arial"/>
                <w:b/>
                <w:bCs/>
                <w:sz w:val="22"/>
              </w:rPr>
              <w:t xml:space="preserve">No. </w:t>
            </w:r>
            <w:r w:rsidR="0CBFBE6F" w:rsidRPr="714377EE">
              <w:rPr>
                <w:rFonts w:cs="Arial"/>
                <w:b/>
                <w:bCs/>
                <w:sz w:val="22"/>
              </w:rPr>
              <w:t>7</w:t>
            </w:r>
          </w:p>
          <w:p w14:paraId="5E6ABDEE" w14:textId="22F49AB3" w:rsidR="13303B89" w:rsidRDefault="13303B89" w:rsidP="714377EE">
            <w:pPr>
              <w:spacing w:before="40" w:after="40" w:line="259" w:lineRule="auto"/>
            </w:pPr>
            <w:r w:rsidRPr="714377EE">
              <w:rPr>
                <w:rFonts w:cs="Arial"/>
                <w:sz w:val="22"/>
              </w:rPr>
              <w:t xml:space="preserve">(This item </w:t>
            </w:r>
            <w:r w:rsidR="51D520BA" w:rsidRPr="714377EE">
              <w:rPr>
                <w:rFonts w:cs="Arial"/>
                <w:sz w:val="22"/>
              </w:rPr>
              <w:t xml:space="preserve">is </w:t>
            </w:r>
            <w:r w:rsidR="7D3D0831" w:rsidRPr="714377EE">
              <w:rPr>
                <w:rFonts w:cs="Arial"/>
                <w:sz w:val="22"/>
              </w:rPr>
              <w:t>from November</w:t>
            </w:r>
            <w:r w:rsidRPr="714377EE">
              <w:rPr>
                <w:rFonts w:cs="Arial"/>
                <w:sz w:val="22"/>
              </w:rPr>
              <w:t xml:space="preserve"> 2023 meeting</w:t>
            </w:r>
            <w:r w:rsidR="6A387B35" w:rsidRPr="714377EE">
              <w:rPr>
                <w:rFonts w:cs="Arial"/>
                <w:sz w:val="22"/>
              </w:rPr>
              <w:t>)</w:t>
            </w:r>
          </w:p>
        </w:tc>
        <w:tc>
          <w:tcPr>
            <w:tcW w:w="9781" w:type="dxa"/>
            <w:shd w:val="clear" w:color="auto" w:fill="F2F2F2" w:themeFill="background1" w:themeFillShade="F2"/>
          </w:tcPr>
          <w:p w14:paraId="229CD484" w14:textId="7D1B70CF" w:rsidR="13303B89" w:rsidRDefault="13303B89" w:rsidP="714377EE">
            <w:pPr>
              <w:spacing w:before="40" w:after="40"/>
              <w:rPr>
                <w:rFonts w:eastAsia="Arial" w:cs="Arial"/>
                <w:szCs w:val="24"/>
              </w:rPr>
            </w:pPr>
            <w:r w:rsidRPr="714377EE">
              <w:rPr>
                <w:rFonts w:eastAsia="Arial" w:cs="Arial"/>
                <w:szCs w:val="24"/>
              </w:rPr>
              <w:t>In respect of Primary Care Access and Plan - how can patients find out about services that offer self-referral? What proportion of patients can name the services and providers that offer self-referral? Why is Talking Therapies (iAPT) not mentioned as an important self-referral service? (iAPT and MKS come up in Google search for "NHS self-referral"). Would not a BOB- or place-based website with a self-referral page be the most useful target for search engines? Isn't "ask the GP receptionist" (as the NHS app recommends) completely out-dated?</w:t>
            </w:r>
          </w:p>
          <w:p w14:paraId="63BE1D8F" w14:textId="158D89A6" w:rsidR="714377EE" w:rsidRDefault="714377EE" w:rsidP="714377EE">
            <w:pPr>
              <w:spacing w:before="40" w:after="40"/>
              <w:rPr>
                <w:rFonts w:eastAsia="Arial" w:cs="Arial"/>
                <w:szCs w:val="24"/>
              </w:rPr>
            </w:pPr>
          </w:p>
          <w:p w14:paraId="0BFA03F0" w14:textId="5A7E9CE2" w:rsidR="714377EE" w:rsidRDefault="714377EE" w:rsidP="714377EE">
            <w:pPr>
              <w:spacing w:before="40" w:after="40"/>
            </w:pPr>
            <w:r w:rsidRPr="714377EE">
              <w:rPr>
                <w:i/>
                <w:iCs/>
              </w:rPr>
              <w:t>Question submitted by Tom Lake</w:t>
            </w:r>
          </w:p>
        </w:tc>
      </w:tr>
      <w:tr w:rsidR="714377EE" w14:paraId="30011A2B" w14:textId="77777777" w:rsidTr="009F5F42">
        <w:trPr>
          <w:trHeight w:val="300"/>
        </w:trPr>
        <w:tc>
          <w:tcPr>
            <w:tcW w:w="1276" w:type="dxa"/>
            <w:shd w:val="clear" w:color="auto" w:fill="auto"/>
          </w:tcPr>
          <w:p w14:paraId="6644CE72" w14:textId="207D694D" w:rsidR="714377EE" w:rsidRDefault="714377EE" w:rsidP="714377EE">
            <w:pPr>
              <w:spacing w:before="40" w:after="40"/>
              <w:rPr>
                <w:rFonts w:cs="Arial"/>
                <w:b/>
                <w:bCs/>
                <w:sz w:val="16"/>
                <w:szCs w:val="16"/>
              </w:rPr>
            </w:pPr>
            <w:r w:rsidRPr="714377EE">
              <w:rPr>
                <w:rFonts w:cs="Arial"/>
                <w:b/>
                <w:bCs/>
                <w:sz w:val="22"/>
              </w:rPr>
              <w:t>Response</w:t>
            </w:r>
          </w:p>
        </w:tc>
        <w:tc>
          <w:tcPr>
            <w:tcW w:w="9781" w:type="dxa"/>
            <w:shd w:val="clear" w:color="auto" w:fill="auto"/>
          </w:tcPr>
          <w:p w14:paraId="6F14F8CF" w14:textId="61555962" w:rsidR="714377EE" w:rsidRDefault="5E2DDEDF" w:rsidP="714377EE">
            <w:pPr>
              <w:spacing w:after="120"/>
              <w:rPr>
                <w:color w:val="000000" w:themeColor="text1"/>
              </w:rPr>
            </w:pPr>
            <w:r w:rsidRPr="1FD10D40">
              <w:rPr>
                <w:color w:val="000000" w:themeColor="text1"/>
              </w:rPr>
              <w:t xml:space="preserve">Ensuring that people can find the information they need easily is very important. ICBs are currently working with NHS England on an audit of Primary Care landing pages </w:t>
            </w:r>
            <w:r w:rsidR="0B724B36" w:rsidRPr="1FD10D40">
              <w:rPr>
                <w:color w:val="000000" w:themeColor="text1"/>
              </w:rPr>
              <w:t xml:space="preserve">(these are the individual practice web page you would land on when clicking on a link from an email, text or google search for your practice). </w:t>
            </w:r>
            <w:r w:rsidR="3B2CB046" w:rsidRPr="1FD10D40">
              <w:rPr>
                <w:color w:val="000000" w:themeColor="text1"/>
              </w:rPr>
              <w:t>The aim of the audit is to identify</w:t>
            </w:r>
            <w:r w:rsidRPr="1FD10D40">
              <w:rPr>
                <w:color w:val="000000" w:themeColor="text1"/>
              </w:rPr>
              <w:t xml:space="preserve"> opportunities to improve access including information about self-referral services. At this stage of the audit, it does not include self-referrals to mental health support.  We will remind surgeries of the Talking Therapies Services self-referral option and give them suggested text for their webpages, so we have some consistency about our messaging and encourage them to list these important services.</w:t>
            </w:r>
          </w:p>
        </w:tc>
      </w:tr>
    </w:tbl>
    <w:p w14:paraId="206F21F2" w14:textId="3976E7BD" w:rsidR="007541B8" w:rsidRDefault="007541B8">
      <w:pPr>
        <w:rPr>
          <w:sz w:val="14"/>
          <w:szCs w:val="14"/>
        </w:rPr>
      </w:pPr>
    </w:p>
    <w:sectPr w:rsidR="007541B8" w:rsidSect="005C095F">
      <w:footerReference w:type="default" r:id="rId11"/>
      <w:headerReference w:type="first" r:id="rId12"/>
      <w:pgSz w:w="11906" w:h="16838"/>
      <w:pgMar w:top="567" w:right="1440" w:bottom="284" w:left="1276" w:header="1361"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FEEE" w14:textId="77777777" w:rsidR="00E55E58" w:rsidRDefault="00E55E58" w:rsidP="00510AD8">
      <w:r>
        <w:separator/>
      </w:r>
    </w:p>
  </w:endnote>
  <w:endnote w:type="continuationSeparator" w:id="0">
    <w:p w14:paraId="537B3D12" w14:textId="77777777" w:rsidR="00E55E58" w:rsidRDefault="00E55E58" w:rsidP="00510AD8">
      <w:r>
        <w:continuationSeparator/>
      </w:r>
    </w:p>
  </w:endnote>
  <w:endnote w:type="continuationNotice" w:id="1">
    <w:p w14:paraId="49DC35D5" w14:textId="77777777" w:rsidR="00E55E58" w:rsidRDefault="00E55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65002097"/>
      <w:docPartObj>
        <w:docPartGallery w:val="Page Numbers (Bottom of Page)"/>
        <w:docPartUnique/>
      </w:docPartObj>
    </w:sdtPr>
    <w:sdtContent>
      <w:sdt>
        <w:sdtPr>
          <w:rPr>
            <w:sz w:val="20"/>
            <w:szCs w:val="18"/>
          </w:rPr>
          <w:id w:val="-1769616900"/>
          <w:docPartObj>
            <w:docPartGallery w:val="Page Numbers (Top of Page)"/>
            <w:docPartUnique/>
          </w:docPartObj>
        </w:sdtPr>
        <w:sdtContent>
          <w:p w14:paraId="2DD19331" w14:textId="61DD4D6B" w:rsidR="00296C29" w:rsidRPr="00296C29" w:rsidRDefault="00296C29" w:rsidP="005B06E4">
            <w:pPr>
              <w:pStyle w:val="Footer"/>
              <w:tabs>
                <w:tab w:val="clear" w:pos="9026"/>
                <w:tab w:val="right" w:pos="8505"/>
              </w:tabs>
              <w:spacing w:before="60"/>
              <w:ind w:right="-896"/>
              <w:jc w:val="right"/>
              <w:rPr>
                <w:sz w:val="20"/>
                <w:szCs w:val="18"/>
              </w:rPr>
            </w:pPr>
            <w:r w:rsidRPr="00296C29">
              <w:rPr>
                <w:sz w:val="20"/>
                <w:szCs w:val="18"/>
              </w:rPr>
              <w:t xml:space="preserve">Page </w:t>
            </w:r>
            <w:r w:rsidRPr="00296C29">
              <w:rPr>
                <w:b/>
                <w:bCs/>
                <w:sz w:val="20"/>
                <w:szCs w:val="20"/>
              </w:rPr>
              <w:fldChar w:fldCharType="begin"/>
            </w:r>
            <w:r w:rsidRPr="00296C29">
              <w:rPr>
                <w:b/>
                <w:bCs/>
                <w:sz w:val="20"/>
                <w:szCs w:val="18"/>
              </w:rPr>
              <w:instrText xml:space="preserve"> PAGE </w:instrText>
            </w:r>
            <w:r w:rsidRPr="00296C29">
              <w:rPr>
                <w:b/>
                <w:bCs/>
                <w:sz w:val="20"/>
                <w:szCs w:val="20"/>
              </w:rPr>
              <w:fldChar w:fldCharType="separate"/>
            </w:r>
            <w:r w:rsidRPr="00296C29">
              <w:rPr>
                <w:b/>
                <w:bCs/>
                <w:noProof/>
                <w:sz w:val="20"/>
                <w:szCs w:val="18"/>
              </w:rPr>
              <w:t>2</w:t>
            </w:r>
            <w:r w:rsidRPr="00296C29">
              <w:rPr>
                <w:b/>
                <w:bCs/>
                <w:sz w:val="20"/>
                <w:szCs w:val="20"/>
              </w:rPr>
              <w:fldChar w:fldCharType="end"/>
            </w:r>
            <w:r w:rsidRPr="00296C29">
              <w:rPr>
                <w:sz w:val="20"/>
                <w:szCs w:val="18"/>
              </w:rPr>
              <w:t xml:space="preserve"> of </w:t>
            </w:r>
            <w:r w:rsidRPr="00296C29">
              <w:rPr>
                <w:b/>
                <w:bCs/>
                <w:sz w:val="20"/>
                <w:szCs w:val="20"/>
              </w:rPr>
              <w:fldChar w:fldCharType="begin"/>
            </w:r>
            <w:r w:rsidRPr="00296C29">
              <w:rPr>
                <w:b/>
                <w:bCs/>
                <w:sz w:val="20"/>
                <w:szCs w:val="18"/>
              </w:rPr>
              <w:instrText xml:space="preserve"> NUMPAGES  </w:instrText>
            </w:r>
            <w:r w:rsidRPr="00296C29">
              <w:rPr>
                <w:b/>
                <w:bCs/>
                <w:sz w:val="20"/>
                <w:szCs w:val="20"/>
              </w:rPr>
              <w:fldChar w:fldCharType="separate"/>
            </w:r>
            <w:r w:rsidRPr="00296C29">
              <w:rPr>
                <w:b/>
                <w:bCs/>
                <w:noProof/>
                <w:sz w:val="20"/>
                <w:szCs w:val="18"/>
              </w:rPr>
              <w:t>2</w:t>
            </w:r>
            <w:r w:rsidRPr="00296C29">
              <w:rPr>
                <w:b/>
                <w:bCs/>
                <w:sz w:val="20"/>
                <w:szCs w:val="20"/>
              </w:rPr>
              <w:fldChar w:fldCharType="end"/>
            </w:r>
          </w:p>
        </w:sdtContent>
      </w:sdt>
    </w:sdtContent>
  </w:sdt>
  <w:p w14:paraId="478AAB31" w14:textId="77777777" w:rsidR="00296C29" w:rsidRDefault="0029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2984" w14:textId="77777777" w:rsidR="00E55E58" w:rsidRDefault="00E55E58" w:rsidP="00510AD8">
      <w:r>
        <w:separator/>
      </w:r>
    </w:p>
  </w:footnote>
  <w:footnote w:type="continuationSeparator" w:id="0">
    <w:p w14:paraId="0CCDE537" w14:textId="77777777" w:rsidR="00E55E58" w:rsidRDefault="00E55E58" w:rsidP="00510AD8">
      <w:r>
        <w:continuationSeparator/>
      </w:r>
    </w:p>
  </w:footnote>
  <w:footnote w:type="continuationNotice" w:id="1">
    <w:p w14:paraId="77483F09" w14:textId="77777777" w:rsidR="00E55E58" w:rsidRDefault="00E55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ABD0" w14:textId="0F8152E2" w:rsidR="00510AD8" w:rsidRDefault="000202D4" w:rsidP="005A2F9B">
    <w:pPr>
      <w:pStyle w:val="Header"/>
    </w:pPr>
    <w:r>
      <w:rPr>
        <w:noProof/>
      </w:rPr>
      <w:drawing>
        <wp:anchor distT="0" distB="0" distL="114300" distR="114300" simplePos="0" relativeHeight="251658240" behindDoc="0" locked="0" layoutInCell="1" allowOverlap="1" wp14:anchorId="34ADE3EA" wp14:editId="34E31448">
          <wp:simplePos x="0" y="0"/>
          <wp:positionH relativeFrom="column">
            <wp:posOffset>4373880</wp:posOffset>
          </wp:positionH>
          <wp:positionV relativeFrom="paragraph">
            <wp:posOffset>-738505</wp:posOffset>
          </wp:positionV>
          <wp:extent cx="2210435" cy="840740"/>
          <wp:effectExtent l="0" t="0" r="0" b="0"/>
          <wp:wrapNone/>
          <wp:docPr id="46" name="Picture 4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8407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C768A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F4038"/>
    <w:multiLevelType w:val="hybridMultilevel"/>
    <w:tmpl w:val="2594F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74BEF"/>
    <w:multiLevelType w:val="hybridMultilevel"/>
    <w:tmpl w:val="A4EC8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3A73E4"/>
    <w:multiLevelType w:val="hybridMultilevel"/>
    <w:tmpl w:val="CB4A8F9C"/>
    <w:lvl w:ilvl="0" w:tplc="FFFFFFFF">
      <w:start w:val="1"/>
      <w:numFmt w:val="lowerRoman"/>
      <w:lvlText w:val="%1."/>
      <w:lvlJc w:val="left"/>
      <w:pPr>
        <w:ind w:left="1080" w:hanging="720"/>
      </w:pPr>
      <w:rPr>
        <w:rFonts w:ascii="Calibri" w:eastAsia="Calibri" w:hAnsi="Calibri"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1C4B4A"/>
    <w:multiLevelType w:val="hybridMultilevel"/>
    <w:tmpl w:val="2242803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D6BF1"/>
    <w:multiLevelType w:val="hybridMultilevel"/>
    <w:tmpl w:val="44D048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8F252C"/>
    <w:multiLevelType w:val="hybridMultilevel"/>
    <w:tmpl w:val="44D0487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4A4536"/>
    <w:multiLevelType w:val="hybridMultilevel"/>
    <w:tmpl w:val="CD18C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591997"/>
    <w:multiLevelType w:val="hybridMultilevel"/>
    <w:tmpl w:val="CB4A8F9C"/>
    <w:lvl w:ilvl="0" w:tplc="38FC6570">
      <w:start w:val="1"/>
      <w:numFmt w:val="lowerRoman"/>
      <w:lvlText w:val="%1."/>
      <w:lvlJc w:val="left"/>
      <w:pPr>
        <w:ind w:left="1080" w:hanging="720"/>
      </w:pPr>
      <w:rPr>
        <w:rFonts w:ascii="Calibri" w:eastAsia="Calibri" w:hAnsi="Calibri"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47F22"/>
    <w:multiLevelType w:val="hybridMultilevel"/>
    <w:tmpl w:val="937C7DF0"/>
    <w:lvl w:ilvl="0" w:tplc="A790B9C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424646"/>
    <w:multiLevelType w:val="hybridMultilevel"/>
    <w:tmpl w:val="7918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B100A"/>
    <w:multiLevelType w:val="hybridMultilevel"/>
    <w:tmpl w:val="DB94407A"/>
    <w:lvl w:ilvl="0" w:tplc="E6C469BC">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427E9"/>
    <w:multiLevelType w:val="hybridMultilevel"/>
    <w:tmpl w:val="892A9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5445C1"/>
    <w:multiLevelType w:val="hybridMultilevel"/>
    <w:tmpl w:val="94E23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BC71F1"/>
    <w:multiLevelType w:val="hybridMultilevel"/>
    <w:tmpl w:val="EFDA0D6A"/>
    <w:lvl w:ilvl="0" w:tplc="E0501C3E">
      <w:numFmt w:val="bullet"/>
      <w:lvlText w:val="•"/>
      <w:lvlJc w:val="left"/>
      <w:pPr>
        <w:ind w:left="893" w:hanging="720"/>
      </w:pPr>
      <w:rPr>
        <w:rFonts w:ascii="Arial" w:eastAsiaTheme="minorHAnsi" w:hAnsi="Arial" w:cs="Arial"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15" w15:restartNumberingAfterBreak="0">
    <w:nsid w:val="4ADB6A36"/>
    <w:multiLevelType w:val="hybridMultilevel"/>
    <w:tmpl w:val="E44A9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657E1F"/>
    <w:multiLevelType w:val="hybridMultilevel"/>
    <w:tmpl w:val="905E0D68"/>
    <w:lvl w:ilvl="0" w:tplc="FFFFFFFF">
      <w:numFmt w:val="bullet"/>
      <w:lvlText w:val="•"/>
      <w:lvlJc w:val="left"/>
      <w:pPr>
        <w:ind w:left="893" w:hanging="7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D3CFA"/>
    <w:multiLevelType w:val="hybridMultilevel"/>
    <w:tmpl w:val="68E464EC"/>
    <w:lvl w:ilvl="0" w:tplc="B358D9A6">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EC9CAE"/>
    <w:multiLevelType w:val="hybridMultilevel"/>
    <w:tmpl w:val="3EE07666"/>
    <w:lvl w:ilvl="0" w:tplc="86EC7474">
      <w:start w:val="1"/>
      <w:numFmt w:val="decimal"/>
      <w:lvlText w:val="%1."/>
      <w:lvlJc w:val="left"/>
      <w:pPr>
        <w:ind w:left="720" w:hanging="360"/>
      </w:pPr>
      <w:rPr>
        <w:rFonts w:ascii="Arial" w:hAnsi="Arial" w:cs="Arial" w:hint="default"/>
      </w:rPr>
    </w:lvl>
    <w:lvl w:ilvl="1" w:tplc="F19C8254">
      <w:start w:val="1"/>
      <w:numFmt w:val="lowerLetter"/>
      <w:lvlText w:val="%2."/>
      <w:lvlJc w:val="left"/>
      <w:pPr>
        <w:ind w:left="1440" w:hanging="360"/>
      </w:pPr>
    </w:lvl>
    <w:lvl w:ilvl="2" w:tplc="587CE3BC">
      <w:start w:val="1"/>
      <w:numFmt w:val="lowerRoman"/>
      <w:lvlText w:val="%3."/>
      <w:lvlJc w:val="right"/>
      <w:pPr>
        <w:ind w:left="2160" w:hanging="180"/>
      </w:pPr>
    </w:lvl>
    <w:lvl w:ilvl="3" w:tplc="59E2A084">
      <w:start w:val="1"/>
      <w:numFmt w:val="decimal"/>
      <w:lvlText w:val="%4."/>
      <w:lvlJc w:val="left"/>
      <w:pPr>
        <w:ind w:left="2880" w:hanging="360"/>
      </w:pPr>
    </w:lvl>
    <w:lvl w:ilvl="4" w:tplc="6316B3A2">
      <w:start w:val="1"/>
      <w:numFmt w:val="lowerLetter"/>
      <w:lvlText w:val="%5."/>
      <w:lvlJc w:val="left"/>
      <w:pPr>
        <w:ind w:left="3600" w:hanging="360"/>
      </w:pPr>
    </w:lvl>
    <w:lvl w:ilvl="5" w:tplc="BF82589E">
      <w:start w:val="1"/>
      <w:numFmt w:val="lowerRoman"/>
      <w:lvlText w:val="%6."/>
      <w:lvlJc w:val="right"/>
      <w:pPr>
        <w:ind w:left="4320" w:hanging="180"/>
      </w:pPr>
    </w:lvl>
    <w:lvl w:ilvl="6" w:tplc="239099B4">
      <w:start w:val="1"/>
      <w:numFmt w:val="decimal"/>
      <w:lvlText w:val="%7."/>
      <w:lvlJc w:val="left"/>
      <w:pPr>
        <w:ind w:left="5040" w:hanging="360"/>
      </w:pPr>
    </w:lvl>
    <w:lvl w:ilvl="7" w:tplc="2CDECE9E">
      <w:start w:val="1"/>
      <w:numFmt w:val="lowerLetter"/>
      <w:lvlText w:val="%8."/>
      <w:lvlJc w:val="left"/>
      <w:pPr>
        <w:ind w:left="5760" w:hanging="360"/>
      </w:pPr>
    </w:lvl>
    <w:lvl w:ilvl="8" w:tplc="037036CC">
      <w:start w:val="1"/>
      <w:numFmt w:val="lowerRoman"/>
      <w:lvlText w:val="%9."/>
      <w:lvlJc w:val="right"/>
      <w:pPr>
        <w:ind w:left="6480" w:hanging="180"/>
      </w:pPr>
    </w:lvl>
  </w:abstractNum>
  <w:abstractNum w:abstractNumId="19" w15:restartNumberingAfterBreak="0">
    <w:nsid w:val="6C4C5654"/>
    <w:multiLevelType w:val="hybridMultilevel"/>
    <w:tmpl w:val="BD7A7D1E"/>
    <w:lvl w:ilvl="0" w:tplc="5ECAFE82">
      <w:start w:val="1"/>
      <w:numFmt w:val="bullet"/>
      <w:lvlText w:val=""/>
      <w:lvlJc w:val="left"/>
      <w:pPr>
        <w:ind w:left="720" w:hanging="360"/>
      </w:pPr>
      <w:rPr>
        <w:rFonts w:ascii="Symbol" w:hAnsi="Symbol" w:hint="default"/>
      </w:rPr>
    </w:lvl>
    <w:lvl w:ilvl="1" w:tplc="8E26CDFA">
      <w:start w:val="1"/>
      <w:numFmt w:val="bullet"/>
      <w:lvlText w:val="o"/>
      <w:lvlJc w:val="left"/>
      <w:pPr>
        <w:ind w:left="1440" w:hanging="360"/>
      </w:pPr>
      <w:rPr>
        <w:rFonts w:ascii="Courier New" w:hAnsi="Courier New" w:hint="default"/>
      </w:rPr>
    </w:lvl>
    <w:lvl w:ilvl="2" w:tplc="8D427E36">
      <w:start w:val="1"/>
      <w:numFmt w:val="bullet"/>
      <w:lvlText w:val=""/>
      <w:lvlJc w:val="left"/>
      <w:pPr>
        <w:ind w:left="2160" w:hanging="360"/>
      </w:pPr>
      <w:rPr>
        <w:rFonts w:ascii="Wingdings" w:hAnsi="Wingdings" w:hint="default"/>
      </w:rPr>
    </w:lvl>
    <w:lvl w:ilvl="3" w:tplc="3C2E455C">
      <w:start w:val="1"/>
      <w:numFmt w:val="bullet"/>
      <w:lvlText w:val=""/>
      <w:lvlJc w:val="left"/>
      <w:pPr>
        <w:ind w:left="2880" w:hanging="360"/>
      </w:pPr>
      <w:rPr>
        <w:rFonts w:ascii="Symbol" w:hAnsi="Symbol" w:hint="default"/>
      </w:rPr>
    </w:lvl>
    <w:lvl w:ilvl="4" w:tplc="57F6D5A0">
      <w:start w:val="1"/>
      <w:numFmt w:val="bullet"/>
      <w:lvlText w:val="o"/>
      <w:lvlJc w:val="left"/>
      <w:pPr>
        <w:ind w:left="3600" w:hanging="360"/>
      </w:pPr>
      <w:rPr>
        <w:rFonts w:ascii="Courier New" w:hAnsi="Courier New" w:hint="default"/>
      </w:rPr>
    </w:lvl>
    <w:lvl w:ilvl="5" w:tplc="F93AE8EA">
      <w:start w:val="1"/>
      <w:numFmt w:val="bullet"/>
      <w:lvlText w:val=""/>
      <w:lvlJc w:val="left"/>
      <w:pPr>
        <w:ind w:left="4320" w:hanging="360"/>
      </w:pPr>
      <w:rPr>
        <w:rFonts w:ascii="Wingdings" w:hAnsi="Wingdings" w:hint="default"/>
      </w:rPr>
    </w:lvl>
    <w:lvl w:ilvl="6" w:tplc="1EBA27EA">
      <w:start w:val="1"/>
      <w:numFmt w:val="bullet"/>
      <w:lvlText w:val=""/>
      <w:lvlJc w:val="left"/>
      <w:pPr>
        <w:ind w:left="5040" w:hanging="360"/>
      </w:pPr>
      <w:rPr>
        <w:rFonts w:ascii="Symbol" w:hAnsi="Symbol" w:hint="default"/>
      </w:rPr>
    </w:lvl>
    <w:lvl w:ilvl="7" w:tplc="CA04971C">
      <w:start w:val="1"/>
      <w:numFmt w:val="bullet"/>
      <w:lvlText w:val="o"/>
      <w:lvlJc w:val="left"/>
      <w:pPr>
        <w:ind w:left="5760" w:hanging="360"/>
      </w:pPr>
      <w:rPr>
        <w:rFonts w:ascii="Courier New" w:hAnsi="Courier New" w:hint="default"/>
      </w:rPr>
    </w:lvl>
    <w:lvl w:ilvl="8" w:tplc="94202BD4">
      <w:start w:val="1"/>
      <w:numFmt w:val="bullet"/>
      <w:lvlText w:val=""/>
      <w:lvlJc w:val="left"/>
      <w:pPr>
        <w:ind w:left="6480" w:hanging="360"/>
      </w:pPr>
      <w:rPr>
        <w:rFonts w:ascii="Wingdings" w:hAnsi="Wingdings" w:hint="default"/>
      </w:rPr>
    </w:lvl>
  </w:abstractNum>
  <w:abstractNum w:abstractNumId="20" w15:restartNumberingAfterBreak="0">
    <w:nsid w:val="6CA2F928"/>
    <w:multiLevelType w:val="hybridMultilevel"/>
    <w:tmpl w:val="4104C18C"/>
    <w:lvl w:ilvl="0" w:tplc="8FC4BA82">
      <w:start w:val="1"/>
      <w:numFmt w:val="bullet"/>
      <w:lvlText w:val=""/>
      <w:lvlJc w:val="left"/>
      <w:pPr>
        <w:ind w:left="720" w:hanging="360"/>
      </w:pPr>
      <w:rPr>
        <w:rFonts w:ascii="Symbol" w:hAnsi="Symbol" w:hint="default"/>
      </w:rPr>
    </w:lvl>
    <w:lvl w:ilvl="1" w:tplc="9D7624C4">
      <w:start w:val="1"/>
      <w:numFmt w:val="bullet"/>
      <w:lvlText w:val="o"/>
      <w:lvlJc w:val="left"/>
      <w:pPr>
        <w:ind w:left="1440" w:hanging="360"/>
      </w:pPr>
      <w:rPr>
        <w:rFonts w:ascii="Courier New" w:hAnsi="Courier New" w:hint="default"/>
      </w:rPr>
    </w:lvl>
    <w:lvl w:ilvl="2" w:tplc="FB8CE6B6">
      <w:start w:val="1"/>
      <w:numFmt w:val="bullet"/>
      <w:lvlText w:val=""/>
      <w:lvlJc w:val="left"/>
      <w:pPr>
        <w:ind w:left="2160" w:hanging="360"/>
      </w:pPr>
      <w:rPr>
        <w:rFonts w:ascii="Wingdings" w:hAnsi="Wingdings" w:hint="default"/>
      </w:rPr>
    </w:lvl>
    <w:lvl w:ilvl="3" w:tplc="6C5220AC">
      <w:start w:val="1"/>
      <w:numFmt w:val="bullet"/>
      <w:lvlText w:val=""/>
      <w:lvlJc w:val="left"/>
      <w:pPr>
        <w:ind w:left="2880" w:hanging="360"/>
      </w:pPr>
      <w:rPr>
        <w:rFonts w:ascii="Symbol" w:hAnsi="Symbol" w:hint="default"/>
      </w:rPr>
    </w:lvl>
    <w:lvl w:ilvl="4" w:tplc="EB0CAECE">
      <w:start w:val="1"/>
      <w:numFmt w:val="bullet"/>
      <w:lvlText w:val="o"/>
      <w:lvlJc w:val="left"/>
      <w:pPr>
        <w:ind w:left="3600" w:hanging="360"/>
      </w:pPr>
      <w:rPr>
        <w:rFonts w:ascii="Courier New" w:hAnsi="Courier New" w:hint="default"/>
      </w:rPr>
    </w:lvl>
    <w:lvl w:ilvl="5" w:tplc="8A600E04">
      <w:start w:val="1"/>
      <w:numFmt w:val="bullet"/>
      <w:lvlText w:val=""/>
      <w:lvlJc w:val="left"/>
      <w:pPr>
        <w:ind w:left="4320" w:hanging="360"/>
      </w:pPr>
      <w:rPr>
        <w:rFonts w:ascii="Wingdings" w:hAnsi="Wingdings" w:hint="default"/>
      </w:rPr>
    </w:lvl>
    <w:lvl w:ilvl="6" w:tplc="053AEBA6">
      <w:start w:val="1"/>
      <w:numFmt w:val="bullet"/>
      <w:lvlText w:val=""/>
      <w:lvlJc w:val="left"/>
      <w:pPr>
        <w:ind w:left="5040" w:hanging="360"/>
      </w:pPr>
      <w:rPr>
        <w:rFonts w:ascii="Symbol" w:hAnsi="Symbol" w:hint="default"/>
      </w:rPr>
    </w:lvl>
    <w:lvl w:ilvl="7" w:tplc="FD2C0B84">
      <w:start w:val="1"/>
      <w:numFmt w:val="bullet"/>
      <w:lvlText w:val="o"/>
      <w:lvlJc w:val="left"/>
      <w:pPr>
        <w:ind w:left="5760" w:hanging="360"/>
      </w:pPr>
      <w:rPr>
        <w:rFonts w:ascii="Courier New" w:hAnsi="Courier New" w:hint="default"/>
      </w:rPr>
    </w:lvl>
    <w:lvl w:ilvl="8" w:tplc="33468C00">
      <w:start w:val="1"/>
      <w:numFmt w:val="bullet"/>
      <w:lvlText w:val=""/>
      <w:lvlJc w:val="left"/>
      <w:pPr>
        <w:ind w:left="6480" w:hanging="360"/>
      </w:pPr>
      <w:rPr>
        <w:rFonts w:ascii="Wingdings" w:hAnsi="Wingdings" w:hint="default"/>
      </w:rPr>
    </w:lvl>
  </w:abstractNum>
  <w:abstractNum w:abstractNumId="21" w15:restartNumberingAfterBreak="0">
    <w:nsid w:val="70A94F01"/>
    <w:multiLevelType w:val="hybridMultilevel"/>
    <w:tmpl w:val="951CE2E2"/>
    <w:lvl w:ilvl="0" w:tplc="BD423480">
      <w:start w:val="1"/>
      <w:numFmt w:val="bullet"/>
      <w:lvlText w:val=""/>
      <w:lvlJc w:val="left"/>
      <w:pPr>
        <w:ind w:left="720" w:hanging="360"/>
      </w:pPr>
      <w:rPr>
        <w:rFonts w:ascii="Symbol" w:hAnsi="Symbol" w:hint="default"/>
      </w:rPr>
    </w:lvl>
    <w:lvl w:ilvl="1" w:tplc="5AB68AB0">
      <w:start w:val="1"/>
      <w:numFmt w:val="bullet"/>
      <w:lvlText w:val="o"/>
      <w:lvlJc w:val="left"/>
      <w:pPr>
        <w:ind w:left="1440" w:hanging="360"/>
      </w:pPr>
      <w:rPr>
        <w:rFonts w:ascii="Courier New" w:hAnsi="Courier New" w:hint="default"/>
      </w:rPr>
    </w:lvl>
    <w:lvl w:ilvl="2" w:tplc="1BD042E8">
      <w:start w:val="1"/>
      <w:numFmt w:val="bullet"/>
      <w:lvlText w:val=""/>
      <w:lvlJc w:val="left"/>
      <w:pPr>
        <w:ind w:left="2160" w:hanging="360"/>
      </w:pPr>
      <w:rPr>
        <w:rFonts w:ascii="Wingdings" w:hAnsi="Wingdings" w:hint="default"/>
      </w:rPr>
    </w:lvl>
    <w:lvl w:ilvl="3" w:tplc="38C2BD64">
      <w:start w:val="1"/>
      <w:numFmt w:val="bullet"/>
      <w:lvlText w:val=""/>
      <w:lvlJc w:val="left"/>
      <w:pPr>
        <w:ind w:left="2880" w:hanging="360"/>
      </w:pPr>
      <w:rPr>
        <w:rFonts w:ascii="Symbol" w:hAnsi="Symbol" w:hint="default"/>
      </w:rPr>
    </w:lvl>
    <w:lvl w:ilvl="4" w:tplc="35DA3DC2">
      <w:start w:val="1"/>
      <w:numFmt w:val="bullet"/>
      <w:lvlText w:val="o"/>
      <w:lvlJc w:val="left"/>
      <w:pPr>
        <w:ind w:left="3600" w:hanging="360"/>
      </w:pPr>
      <w:rPr>
        <w:rFonts w:ascii="Courier New" w:hAnsi="Courier New" w:hint="default"/>
      </w:rPr>
    </w:lvl>
    <w:lvl w:ilvl="5" w:tplc="CDA60F60">
      <w:start w:val="1"/>
      <w:numFmt w:val="bullet"/>
      <w:lvlText w:val=""/>
      <w:lvlJc w:val="left"/>
      <w:pPr>
        <w:ind w:left="4320" w:hanging="360"/>
      </w:pPr>
      <w:rPr>
        <w:rFonts w:ascii="Wingdings" w:hAnsi="Wingdings" w:hint="default"/>
      </w:rPr>
    </w:lvl>
    <w:lvl w:ilvl="6" w:tplc="32AA0EBC">
      <w:start w:val="1"/>
      <w:numFmt w:val="bullet"/>
      <w:lvlText w:val=""/>
      <w:lvlJc w:val="left"/>
      <w:pPr>
        <w:ind w:left="5040" w:hanging="360"/>
      </w:pPr>
      <w:rPr>
        <w:rFonts w:ascii="Symbol" w:hAnsi="Symbol" w:hint="default"/>
      </w:rPr>
    </w:lvl>
    <w:lvl w:ilvl="7" w:tplc="ABC2D498">
      <w:start w:val="1"/>
      <w:numFmt w:val="bullet"/>
      <w:lvlText w:val="o"/>
      <w:lvlJc w:val="left"/>
      <w:pPr>
        <w:ind w:left="5760" w:hanging="360"/>
      </w:pPr>
      <w:rPr>
        <w:rFonts w:ascii="Courier New" w:hAnsi="Courier New" w:hint="default"/>
      </w:rPr>
    </w:lvl>
    <w:lvl w:ilvl="8" w:tplc="7B780CEA">
      <w:start w:val="1"/>
      <w:numFmt w:val="bullet"/>
      <w:lvlText w:val=""/>
      <w:lvlJc w:val="left"/>
      <w:pPr>
        <w:ind w:left="6480" w:hanging="360"/>
      </w:pPr>
      <w:rPr>
        <w:rFonts w:ascii="Wingdings" w:hAnsi="Wingdings" w:hint="default"/>
      </w:rPr>
    </w:lvl>
  </w:abstractNum>
  <w:abstractNum w:abstractNumId="22" w15:restartNumberingAfterBreak="0">
    <w:nsid w:val="729871B1"/>
    <w:multiLevelType w:val="multilevel"/>
    <w:tmpl w:val="E77C1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46E772F"/>
    <w:multiLevelType w:val="hybridMultilevel"/>
    <w:tmpl w:val="EE84BD12"/>
    <w:lvl w:ilvl="0" w:tplc="DA686480">
      <w:start w:val="2"/>
      <w:numFmt w:val="lowerRoman"/>
      <w:lvlText w:val="%1."/>
      <w:lvlJc w:val="left"/>
      <w:pPr>
        <w:ind w:left="1181" w:hanging="720"/>
      </w:pPr>
      <w:rPr>
        <w:rFonts w:ascii="Calibri" w:eastAsia="Calibri" w:hAnsi="Calibri" w:hint="default"/>
        <w:i w:val="0"/>
      </w:rPr>
    </w:lvl>
    <w:lvl w:ilvl="1" w:tplc="08090019">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24" w15:restartNumberingAfterBreak="0">
    <w:nsid w:val="77D171E5"/>
    <w:multiLevelType w:val="hybridMultilevel"/>
    <w:tmpl w:val="44D0487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C786AAC"/>
    <w:multiLevelType w:val="hybridMultilevel"/>
    <w:tmpl w:val="0D38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F2593A"/>
    <w:multiLevelType w:val="hybridMultilevel"/>
    <w:tmpl w:val="04E076C8"/>
    <w:lvl w:ilvl="0" w:tplc="FFFFFFFF">
      <w:start w:val="1"/>
      <w:numFmt w:val="lowerLetter"/>
      <w:lvlText w:val="%1)"/>
      <w:lvlJc w:val="left"/>
      <w:pPr>
        <w:ind w:left="720" w:hanging="360"/>
      </w:pPr>
      <w:rPr>
        <w:b w:val="0"/>
        <w:bCs/>
        <w:color w:val="auto"/>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FE369C5"/>
    <w:multiLevelType w:val="hybridMultilevel"/>
    <w:tmpl w:val="0C2C5E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16cid:durableId="1496531318">
    <w:abstractNumId w:val="18"/>
  </w:num>
  <w:num w:numId="2" w16cid:durableId="47341838">
    <w:abstractNumId w:val="21"/>
  </w:num>
  <w:num w:numId="3" w16cid:durableId="1200821574">
    <w:abstractNumId w:val="19"/>
  </w:num>
  <w:num w:numId="4" w16cid:durableId="470906423">
    <w:abstractNumId w:val="20"/>
  </w:num>
  <w:num w:numId="5" w16cid:durableId="411389433">
    <w:abstractNumId w:val="5"/>
  </w:num>
  <w:num w:numId="6" w16cid:durableId="949123742">
    <w:abstractNumId w:val="24"/>
  </w:num>
  <w:num w:numId="7" w16cid:durableId="963462278">
    <w:abstractNumId w:val="6"/>
  </w:num>
  <w:num w:numId="8" w16cid:durableId="1235701746">
    <w:abstractNumId w:val="10"/>
  </w:num>
  <w:num w:numId="9" w16cid:durableId="513156244">
    <w:abstractNumId w:val="14"/>
  </w:num>
  <w:num w:numId="10" w16cid:durableId="271010729">
    <w:abstractNumId w:val="16"/>
  </w:num>
  <w:num w:numId="11" w16cid:durableId="1573347486">
    <w:abstractNumId w:val="13"/>
  </w:num>
  <w:num w:numId="12" w16cid:durableId="394009895">
    <w:abstractNumId w:val="2"/>
  </w:num>
  <w:num w:numId="13" w16cid:durableId="810487214">
    <w:abstractNumId w:val="7"/>
  </w:num>
  <w:num w:numId="14" w16cid:durableId="1926960218">
    <w:abstractNumId w:val="27"/>
  </w:num>
  <w:num w:numId="15" w16cid:durableId="137311136">
    <w:abstractNumId w:val="12"/>
  </w:num>
  <w:num w:numId="16" w16cid:durableId="379596716">
    <w:abstractNumId w:val="4"/>
  </w:num>
  <w:num w:numId="17" w16cid:durableId="1535077993">
    <w:abstractNumId w:val="1"/>
  </w:num>
  <w:num w:numId="18" w16cid:durableId="1136945106">
    <w:abstractNumId w:val="26"/>
  </w:num>
  <w:num w:numId="19" w16cid:durableId="1848016408">
    <w:abstractNumId w:val="11"/>
  </w:num>
  <w:num w:numId="20" w16cid:durableId="2142990893">
    <w:abstractNumId w:val="23"/>
  </w:num>
  <w:num w:numId="21" w16cid:durableId="776756447">
    <w:abstractNumId w:val="8"/>
  </w:num>
  <w:num w:numId="22" w16cid:durableId="1069956840">
    <w:abstractNumId w:val="3"/>
  </w:num>
  <w:num w:numId="23" w16cid:durableId="446434924">
    <w:abstractNumId w:val="17"/>
  </w:num>
  <w:num w:numId="24" w16cid:durableId="811412464">
    <w:abstractNumId w:val="0"/>
  </w:num>
  <w:num w:numId="25" w16cid:durableId="1965383654">
    <w:abstractNumId w:val="15"/>
  </w:num>
  <w:num w:numId="26" w16cid:durableId="887179494">
    <w:abstractNumId w:val="9"/>
  </w:num>
  <w:num w:numId="27" w16cid:durableId="1989089701">
    <w:abstractNumId w:val="25"/>
  </w:num>
  <w:num w:numId="28" w16cid:durableId="17686983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D8"/>
    <w:rsid w:val="0000026E"/>
    <w:rsid w:val="000073EF"/>
    <w:rsid w:val="00011216"/>
    <w:rsid w:val="000118E2"/>
    <w:rsid w:val="00013F6D"/>
    <w:rsid w:val="00016616"/>
    <w:rsid w:val="000202D4"/>
    <w:rsid w:val="0003063F"/>
    <w:rsid w:val="000333F8"/>
    <w:rsid w:val="00036A52"/>
    <w:rsid w:val="0004065A"/>
    <w:rsid w:val="0006349B"/>
    <w:rsid w:val="0006685D"/>
    <w:rsid w:val="00070252"/>
    <w:rsid w:val="000739D0"/>
    <w:rsid w:val="00080F06"/>
    <w:rsid w:val="00081789"/>
    <w:rsid w:val="00084EFB"/>
    <w:rsid w:val="000867FE"/>
    <w:rsid w:val="000914FB"/>
    <w:rsid w:val="00091A3A"/>
    <w:rsid w:val="0009277B"/>
    <w:rsid w:val="0009362A"/>
    <w:rsid w:val="000959EF"/>
    <w:rsid w:val="000A3293"/>
    <w:rsid w:val="000A3676"/>
    <w:rsid w:val="000A3723"/>
    <w:rsid w:val="000A6EC9"/>
    <w:rsid w:val="000A7C00"/>
    <w:rsid w:val="000B1A80"/>
    <w:rsid w:val="000B1F34"/>
    <w:rsid w:val="000B2F5F"/>
    <w:rsid w:val="000B469D"/>
    <w:rsid w:val="000B6497"/>
    <w:rsid w:val="000B6585"/>
    <w:rsid w:val="000C03E8"/>
    <w:rsid w:val="000C2F6C"/>
    <w:rsid w:val="000C4733"/>
    <w:rsid w:val="000C68E0"/>
    <w:rsid w:val="000C7347"/>
    <w:rsid w:val="000C7E70"/>
    <w:rsid w:val="000D3402"/>
    <w:rsid w:val="000D3BB8"/>
    <w:rsid w:val="000D513D"/>
    <w:rsid w:val="000D5A78"/>
    <w:rsid w:val="000E1107"/>
    <w:rsid w:val="000E4980"/>
    <w:rsid w:val="000E53F4"/>
    <w:rsid w:val="000F08D7"/>
    <w:rsid w:val="000F2981"/>
    <w:rsid w:val="000F5E77"/>
    <w:rsid w:val="00101918"/>
    <w:rsid w:val="00103386"/>
    <w:rsid w:val="00104252"/>
    <w:rsid w:val="00104835"/>
    <w:rsid w:val="00104A17"/>
    <w:rsid w:val="00107A2E"/>
    <w:rsid w:val="00111691"/>
    <w:rsid w:val="00117594"/>
    <w:rsid w:val="00123AFD"/>
    <w:rsid w:val="00126E84"/>
    <w:rsid w:val="001311B9"/>
    <w:rsid w:val="00137F79"/>
    <w:rsid w:val="001506EF"/>
    <w:rsid w:val="00151FC0"/>
    <w:rsid w:val="0015349C"/>
    <w:rsid w:val="0015399E"/>
    <w:rsid w:val="00161338"/>
    <w:rsid w:val="0016230A"/>
    <w:rsid w:val="001633AB"/>
    <w:rsid w:val="00164543"/>
    <w:rsid w:val="0017161B"/>
    <w:rsid w:val="001731D0"/>
    <w:rsid w:val="00175EA5"/>
    <w:rsid w:val="0017797F"/>
    <w:rsid w:val="00186BC6"/>
    <w:rsid w:val="00187597"/>
    <w:rsid w:val="0019013F"/>
    <w:rsid w:val="00190248"/>
    <w:rsid w:val="00191D7A"/>
    <w:rsid w:val="00194E6A"/>
    <w:rsid w:val="001A4711"/>
    <w:rsid w:val="001A5494"/>
    <w:rsid w:val="001A7E4B"/>
    <w:rsid w:val="001B2849"/>
    <w:rsid w:val="001B3D12"/>
    <w:rsid w:val="001B7752"/>
    <w:rsid w:val="001C0D32"/>
    <w:rsid w:val="001C0E69"/>
    <w:rsid w:val="001C5231"/>
    <w:rsid w:val="001C568C"/>
    <w:rsid w:val="001D0697"/>
    <w:rsid w:val="001D459E"/>
    <w:rsid w:val="001D49A6"/>
    <w:rsid w:val="001E37AD"/>
    <w:rsid w:val="001F006D"/>
    <w:rsid w:val="001F0640"/>
    <w:rsid w:val="001F560F"/>
    <w:rsid w:val="001F57FF"/>
    <w:rsid w:val="001F6A86"/>
    <w:rsid w:val="002004F9"/>
    <w:rsid w:val="00210BCD"/>
    <w:rsid w:val="00211D03"/>
    <w:rsid w:val="00221FA7"/>
    <w:rsid w:val="00222D20"/>
    <w:rsid w:val="002260C7"/>
    <w:rsid w:val="002279B8"/>
    <w:rsid w:val="002353F6"/>
    <w:rsid w:val="00236FCD"/>
    <w:rsid w:val="002469C4"/>
    <w:rsid w:val="00247565"/>
    <w:rsid w:val="00251C92"/>
    <w:rsid w:val="002525B3"/>
    <w:rsid w:val="0026568D"/>
    <w:rsid w:val="00265FF9"/>
    <w:rsid w:val="002748AF"/>
    <w:rsid w:val="00285867"/>
    <w:rsid w:val="00296C29"/>
    <w:rsid w:val="00297149"/>
    <w:rsid w:val="00297218"/>
    <w:rsid w:val="002A3BAF"/>
    <w:rsid w:val="002B225F"/>
    <w:rsid w:val="002C2511"/>
    <w:rsid w:val="002C3216"/>
    <w:rsid w:val="002D2A55"/>
    <w:rsid w:val="002E07D2"/>
    <w:rsid w:val="002E19AA"/>
    <w:rsid w:val="002E21E3"/>
    <w:rsid w:val="002E2F8E"/>
    <w:rsid w:val="002E4167"/>
    <w:rsid w:val="002E5F02"/>
    <w:rsid w:val="002F2713"/>
    <w:rsid w:val="003011E6"/>
    <w:rsid w:val="00302CB4"/>
    <w:rsid w:val="00302E31"/>
    <w:rsid w:val="0030762D"/>
    <w:rsid w:val="00310A4F"/>
    <w:rsid w:val="00314E4E"/>
    <w:rsid w:val="00316368"/>
    <w:rsid w:val="00320324"/>
    <w:rsid w:val="00320596"/>
    <w:rsid w:val="003221F5"/>
    <w:rsid w:val="00322E07"/>
    <w:rsid w:val="00322EF2"/>
    <w:rsid w:val="0032518D"/>
    <w:rsid w:val="00326040"/>
    <w:rsid w:val="003322B4"/>
    <w:rsid w:val="0033369E"/>
    <w:rsid w:val="00337C8C"/>
    <w:rsid w:val="00337D1A"/>
    <w:rsid w:val="00342AAB"/>
    <w:rsid w:val="00347DEA"/>
    <w:rsid w:val="00350BA3"/>
    <w:rsid w:val="00356887"/>
    <w:rsid w:val="00357F27"/>
    <w:rsid w:val="003615E1"/>
    <w:rsid w:val="00366A73"/>
    <w:rsid w:val="0037069F"/>
    <w:rsid w:val="0037075D"/>
    <w:rsid w:val="0037327A"/>
    <w:rsid w:val="0037519C"/>
    <w:rsid w:val="0037567B"/>
    <w:rsid w:val="00382CB4"/>
    <w:rsid w:val="00385039"/>
    <w:rsid w:val="00391884"/>
    <w:rsid w:val="00391F0F"/>
    <w:rsid w:val="00393AAD"/>
    <w:rsid w:val="00397556"/>
    <w:rsid w:val="0039F87A"/>
    <w:rsid w:val="003A0528"/>
    <w:rsid w:val="003A12DC"/>
    <w:rsid w:val="003A29CE"/>
    <w:rsid w:val="003A2B52"/>
    <w:rsid w:val="003B0EC0"/>
    <w:rsid w:val="003B1898"/>
    <w:rsid w:val="003B1B64"/>
    <w:rsid w:val="003B2588"/>
    <w:rsid w:val="003B2AD7"/>
    <w:rsid w:val="003B68ED"/>
    <w:rsid w:val="003C6110"/>
    <w:rsid w:val="003D0CA2"/>
    <w:rsid w:val="003D1F61"/>
    <w:rsid w:val="003D6A2F"/>
    <w:rsid w:val="003E07C4"/>
    <w:rsid w:val="003E1B8F"/>
    <w:rsid w:val="003E375C"/>
    <w:rsid w:val="003E3DAB"/>
    <w:rsid w:val="003F381A"/>
    <w:rsid w:val="003F6DD9"/>
    <w:rsid w:val="003F718A"/>
    <w:rsid w:val="0040292C"/>
    <w:rsid w:val="00410671"/>
    <w:rsid w:val="004158C3"/>
    <w:rsid w:val="00427283"/>
    <w:rsid w:val="00436FAC"/>
    <w:rsid w:val="0044435E"/>
    <w:rsid w:val="00445BBF"/>
    <w:rsid w:val="0045137A"/>
    <w:rsid w:val="00462A38"/>
    <w:rsid w:val="00462DF3"/>
    <w:rsid w:val="004631D1"/>
    <w:rsid w:val="00463928"/>
    <w:rsid w:val="004657A7"/>
    <w:rsid w:val="0047301A"/>
    <w:rsid w:val="00475057"/>
    <w:rsid w:val="00480CD6"/>
    <w:rsid w:val="00483CEF"/>
    <w:rsid w:val="00485353"/>
    <w:rsid w:val="00486F9B"/>
    <w:rsid w:val="00492703"/>
    <w:rsid w:val="00494DCF"/>
    <w:rsid w:val="004A3F8B"/>
    <w:rsid w:val="004A45F2"/>
    <w:rsid w:val="004A7296"/>
    <w:rsid w:val="004A7FE3"/>
    <w:rsid w:val="004B2DC1"/>
    <w:rsid w:val="004B5EE8"/>
    <w:rsid w:val="004C0EB0"/>
    <w:rsid w:val="004C6B44"/>
    <w:rsid w:val="004D36AA"/>
    <w:rsid w:val="004E4C06"/>
    <w:rsid w:val="004E5A27"/>
    <w:rsid w:val="004E7B37"/>
    <w:rsid w:val="00504D4E"/>
    <w:rsid w:val="00506E87"/>
    <w:rsid w:val="00510AD8"/>
    <w:rsid w:val="00511B20"/>
    <w:rsid w:val="00515F82"/>
    <w:rsid w:val="00516A04"/>
    <w:rsid w:val="005220C3"/>
    <w:rsid w:val="00525C7A"/>
    <w:rsid w:val="0052758A"/>
    <w:rsid w:val="0053009E"/>
    <w:rsid w:val="00536062"/>
    <w:rsid w:val="005366E3"/>
    <w:rsid w:val="0054089B"/>
    <w:rsid w:val="0054412D"/>
    <w:rsid w:val="0055301C"/>
    <w:rsid w:val="005607DA"/>
    <w:rsid w:val="00570A8C"/>
    <w:rsid w:val="00570CAB"/>
    <w:rsid w:val="0057410A"/>
    <w:rsid w:val="00574459"/>
    <w:rsid w:val="00574B7A"/>
    <w:rsid w:val="0058376E"/>
    <w:rsid w:val="005846AC"/>
    <w:rsid w:val="00584D9A"/>
    <w:rsid w:val="005876F2"/>
    <w:rsid w:val="0059336F"/>
    <w:rsid w:val="0059489C"/>
    <w:rsid w:val="00595B61"/>
    <w:rsid w:val="00596C03"/>
    <w:rsid w:val="00596DE0"/>
    <w:rsid w:val="0059722F"/>
    <w:rsid w:val="005A1B50"/>
    <w:rsid w:val="005A1BE2"/>
    <w:rsid w:val="005A2F9B"/>
    <w:rsid w:val="005A6B8B"/>
    <w:rsid w:val="005B06E4"/>
    <w:rsid w:val="005B5017"/>
    <w:rsid w:val="005B75B9"/>
    <w:rsid w:val="005C0244"/>
    <w:rsid w:val="005C095F"/>
    <w:rsid w:val="005C0DD9"/>
    <w:rsid w:val="005C7BE9"/>
    <w:rsid w:val="005D178B"/>
    <w:rsid w:val="005D3010"/>
    <w:rsid w:val="005D7B36"/>
    <w:rsid w:val="005E1F30"/>
    <w:rsid w:val="005E6CE0"/>
    <w:rsid w:val="005E7F36"/>
    <w:rsid w:val="005F3C6E"/>
    <w:rsid w:val="005F43A8"/>
    <w:rsid w:val="005F4A0D"/>
    <w:rsid w:val="00612741"/>
    <w:rsid w:val="006142DD"/>
    <w:rsid w:val="00615A5F"/>
    <w:rsid w:val="0061625C"/>
    <w:rsid w:val="006232F3"/>
    <w:rsid w:val="00624F02"/>
    <w:rsid w:val="006259A5"/>
    <w:rsid w:val="00626EA4"/>
    <w:rsid w:val="0062720E"/>
    <w:rsid w:val="00627D0E"/>
    <w:rsid w:val="00633E00"/>
    <w:rsid w:val="006349B1"/>
    <w:rsid w:val="00637C0C"/>
    <w:rsid w:val="00641627"/>
    <w:rsid w:val="006461AE"/>
    <w:rsid w:val="00646DA9"/>
    <w:rsid w:val="00655466"/>
    <w:rsid w:val="00657BA3"/>
    <w:rsid w:val="00671058"/>
    <w:rsid w:val="00671CE3"/>
    <w:rsid w:val="00673115"/>
    <w:rsid w:val="00675AF7"/>
    <w:rsid w:val="00680C9A"/>
    <w:rsid w:val="006909E8"/>
    <w:rsid w:val="00691991"/>
    <w:rsid w:val="00695DB9"/>
    <w:rsid w:val="006B20C6"/>
    <w:rsid w:val="006C0F85"/>
    <w:rsid w:val="006C5A9C"/>
    <w:rsid w:val="006D3AD8"/>
    <w:rsid w:val="006E5542"/>
    <w:rsid w:val="006F39AE"/>
    <w:rsid w:val="006F7E81"/>
    <w:rsid w:val="00706155"/>
    <w:rsid w:val="00713327"/>
    <w:rsid w:val="00721F0C"/>
    <w:rsid w:val="00721FEA"/>
    <w:rsid w:val="00723B08"/>
    <w:rsid w:val="00745236"/>
    <w:rsid w:val="00751493"/>
    <w:rsid w:val="007541B8"/>
    <w:rsid w:val="00755985"/>
    <w:rsid w:val="00755FFB"/>
    <w:rsid w:val="00760140"/>
    <w:rsid w:val="007607B3"/>
    <w:rsid w:val="007662BC"/>
    <w:rsid w:val="007672BF"/>
    <w:rsid w:val="0076746C"/>
    <w:rsid w:val="0077182B"/>
    <w:rsid w:val="007725C1"/>
    <w:rsid w:val="00772FE0"/>
    <w:rsid w:val="0077385D"/>
    <w:rsid w:val="007811F6"/>
    <w:rsid w:val="00786571"/>
    <w:rsid w:val="00795859"/>
    <w:rsid w:val="0079755D"/>
    <w:rsid w:val="007A2824"/>
    <w:rsid w:val="007A28B2"/>
    <w:rsid w:val="007A577E"/>
    <w:rsid w:val="007B0FD2"/>
    <w:rsid w:val="007B26BC"/>
    <w:rsid w:val="007B2C50"/>
    <w:rsid w:val="007B47B7"/>
    <w:rsid w:val="007B6668"/>
    <w:rsid w:val="007B71DC"/>
    <w:rsid w:val="007C095A"/>
    <w:rsid w:val="007C417B"/>
    <w:rsid w:val="007D1896"/>
    <w:rsid w:val="007D20F9"/>
    <w:rsid w:val="007D6C98"/>
    <w:rsid w:val="007E246F"/>
    <w:rsid w:val="007E2B30"/>
    <w:rsid w:val="007E2CCC"/>
    <w:rsid w:val="007E6448"/>
    <w:rsid w:val="007E71AC"/>
    <w:rsid w:val="007F4EEB"/>
    <w:rsid w:val="00802B8C"/>
    <w:rsid w:val="00805245"/>
    <w:rsid w:val="00806547"/>
    <w:rsid w:val="008106A0"/>
    <w:rsid w:val="0081130D"/>
    <w:rsid w:val="00812C07"/>
    <w:rsid w:val="008153E1"/>
    <w:rsid w:val="008215C7"/>
    <w:rsid w:val="00821C60"/>
    <w:rsid w:val="00822B91"/>
    <w:rsid w:val="00823E82"/>
    <w:rsid w:val="00827E3B"/>
    <w:rsid w:val="00830F44"/>
    <w:rsid w:val="0084673E"/>
    <w:rsid w:val="008468DB"/>
    <w:rsid w:val="008537F8"/>
    <w:rsid w:val="00854E7A"/>
    <w:rsid w:val="008649D1"/>
    <w:rsid w:val="00867941"/>
    <w:rsid w:val="00867BBD"/>
    <w:rsid w:val="00867CDC"/>
    <w:rsid w:val="00876461"/>
    <w:rsid w:val="00876C8A"/>
    <w:rsid w:val="00877F88"/>
    <w:rsid w:val="00881E68"/>
    <w:rsid w:val="00884E17"/>
    <w:rsid w:val="00885447"/>
    <w:rsid w:val="00886282"/>
    <w:rsid w:val="00891436"/>
    <w:rsid w:val="008A38B1"/>
    <w:rsid w:val="008A66E8"/>
    <w:rsid w:val="008B15F7"/>
    <w:rsid w:val="008B5E00"/>
    <w:rsid w:val="008C12A5"/>
    <w:rsid w:val="008C1510"/>
    <w:rsid w:val="008C3B3F"/>
    <w:rsid w:val="008C4EEB"/>
    <w:rsid w:val="008C52D5"/>
    <w:rsid w:val="008D08F4"/>
    <w:rsid w:val="008D5B6D"/>
    <w:rsid w:val="008D7DD8"/>
    <w:rsid w:val="008E0298"/>
    <w:rsid w:val="008E17EC"/>
    <w:rsid w:val="008E7AAB"/>
    <w:rsid w:val="008F5402"/>
    <w:rsid w:val="008F5F41"/>
    <w:rsid w:val="009001E8"/>
    <w:rsid w:val="009050B4"/>
    <w:rsid w:val="00905D36"/>
    <w:rsid w:val="00912899"/>
    <w:rsid w:val="009175B5"/>
    <w:rsid w:val="009207FE"/>
    <w:rsid w:val="00924D0B"/>
    <w:rsid w:val="00927181"/>
    <w:rsid w:val="00931891"/>
    <w:rsid w:val="00933D10"/>
    <w:rsid w:val="0093471F"/>
    <w:rsid w:val="00942957"/>
    <w:rsid w:val="00945CB8"/>
    <w:rsid w:val="00955CB6"/>
    <w:rsid w:val="00963180"/>
    <w:rsid w:val="00966805"/>
    <w:rsid w:val="0097689F"/>
    <w:rsid w:val="00980BB6"/>
    <w:rsid w:val="009814A6"/>
    <w:rsid w:val="009867C8"/>
    <w:rsid w:val="009943AB"/>
    <w:rsid w:val="009A4022"/>
    <w:rsid w:val="009A6C3E"/>
    <w:rsid w:val="009A7027"/>
    <w:rsid w:val="009C29D2"/>
    <w:rsid w:val="009C5CB9"/>
    <w:rsid w:val="009C64C5"/>
    <w:rsid w:val="009C74E2"/>
    <w:rsid w:val="009D2143"/>
    <w:rsid w:val="009E30C6"/>
    <w:rsid w:val="009E3F62"/>
    <w:rsid w:val="009E5F63"/>
    <w:rsid w:val="009E7F93"/>
    <w:rsid w:val="009F5F42"/>
    <w:rsid w:val="00A04397"/>
    <w:rsid w:val="00A10DCC"/>
    <w:rsid w:val="00A11814"/>
    <w:rsid w:val="00A118BC"/>
    <w:rsid w:val="00A121B2"/>
    <w:rsid w:val="00A17D44"/>
    <w:rsid w:val="00A217AB"/>
    <w:rsid w:val="00A21886"/>
    <w:rsid w:val="00A25975"/>
    <w:rsid w:val="00A26760"/>
    <w:rsid w:val="00A305A7"/>
    <w:rsid w:val="00A31F44"/>
    <w:rsid w:val="00A3202C"/>
    <w:rsid w:val="00A40744"/>
    <w:rsid w:val="00A41808"/>
    <w:rsid w:val="00A4545F"/>
    <w:rsid w:val="00A52070"/>
    <w:rsid w:val="00A52EA6"/>
    <w:rsid w:val="00A53318"/>
    <w:rsid w:val="00A534C1"/>
    <w:rsid w:val="00A5537C"/>
    <w:rsid w:val="00A6009B"/>
    <w:rsid w:val="00A713B2"/>
    <w:rsid w:val="00A7155A"/>
    <w:rsid w:val="00A72962"/>
    <w:rsid w:val="00A7297D"/>
    <w:rsid w:val="00A76D6B"/>
    <w:rsid w:val="00A8466A"/>
    <w:rsid w:val="00A84F83"/>
    <w:rsid w:val="00A936B0"/>
    <w:rsid w:val="00A94D6F"/>
    <w:rsid w:val="00A957B4"/>
    <w:rsid w:val="00AA29DC"/>
    <w:rsid w:val="00AA34F7"/>
    <w:rsid w:val="00AA5302"/>
    <w:rsid w:val="00AA6779"/>
    <w:rsid w:val="00AB1114"/>
    <w:rsid w:val="00AC0810"/>
    <w:rsid w:val="00AC215F"/>
    <w:rsid w:val="00AC3974"/>
    <w:rsid w:val="00AD202C"/>
    <w:rsid w:val="00AD3B14"/>
    <w:rsid w:val="00AD3ED2"/>
    <w:rsid w:val="00AD520B"/>
    <w:rsid w:val="00AD6707"/>
    <w:rsid w:val="00AD70CF"/>
    <w:rsid w:val="00AE3325"/>
    <w:rsid w:val="00AE3594"/>
    <w:rsid w:val="00AE4DDE"/>
    <w:rsid w:val="00AE7898"/>
    <w:rsid w:val="00AF1498"/>
    <w:rsid w:val="00AF35CC"/>
    <w:rsid w:val="00B0093B"/>
    <w:rsid w:val="00B13C91"/>
    <w:rsid w:val="00B1491B"/>
    <w:rsid w:val="00B17807"/>
    <w:rsid w:val="00B20F3E"/>
    <w:rsid w:val="00B34D0E"/>
    <w:rsid w:val="00B34DC6"/>
    <w:rsid w:val="00B41A89"/>
    <w:rsid w:val="00B4553D"/>
    <w:rsid w:val="00B50A63"/>
    <w:rsid w:val="00B52BB6"/>
    <w:rsid w:val="00B5539D"/>
    <w:rsid w:val="00B56FEB"/>
    <w:rsid w:val="00B57C6F"/>
    <w:rsid w:val="00B6035F"/>
    <w:rsid w:val="00B61A1E"/>
    <w:rsid w:val="00B62489"/>
    <w:rsid w:val="00B70C6A"/>
    <w:rsid w:val="00B720B7"/>
    <w:rsid w:val="00B81ED2"/>
    <w:rsid w:val="00B8447F"/>
    <w:rsid w:val="00B86FBC"/>
    <w:rsid w:val="00B918BB"/>
    <w:rsid w:val="00B920C0"/>
    <w:rsid w:val="00B96F6B"/>
    <w:rsid w:val="00B97E9A"/>
    <w:rsid w:val="00BA0176"/>
    <w:rsid w:val="00BA1E23"/>
    <w:rsid w:val="00BA6544"/>
    <w:rsid w:val="00BB4EF6"/>
    <w:rsid w:val="00BC551F"/>
    <w:rsid w:val="00BC6AD5"/>
    <w:rsid w:val="00BD24CD"/>
    <w:rsid w:val="00BD2B62"/>
    <w:rsid w:val="00BE090B"/>
    <w:rsid w:val="00C0137C"/>
    <w:rsid w:val="00C019C0"/>
    <w:rsid w:val="00C02B0F"/>
    <w:rsid w:val="00C15DA8"/>
    <w:rsid w:val="00C21C52"/>
    <w:rsid w:val="00C27C1A"/>
    <w:rsid w:val="00C32F7F"/>
    <w:rsid w:val="00C3317C"/>
    <w:rsid w:val="00C3518A"/>
    <w:rsid w:val="00C36FFD"/>
    <w:rsid w:val="00C43BC1"/>
    <w:rsid w:val="00C51238"/>
    <w:rsid w:val="00C52B58"/>
    <w:rsid w:val="00C533B8"/>
    <w:rsid w:val="00C54B22"/>
    <w:rsid w:val="00C60662"/>
    <w:rsid w:val="00C62B89"/>
    <w:rsid w:val="00C636BF"/>
    <w:rsid w:val="00C712BD"/>
    <w:rsid w:val="00C74A0F"/>
    <w:rsid w:val="00C752CC"/>
    <w:rsid w:val="00C77F5C"/>
    <w:rsid w:val="00C82968"/>
    <w:rsid w:val="00C97858"/>
    <w:rsid w:val="00CA03BA"/>
    <w:rsid w:val="00CA1CFF"/>
    <w:rsid w:val="00CA34C1"/>
    <w:rsid w:val="00CA642D"/>
    <w:rsid w:val="00CA6DA4"/>
    <w:rsid w:val="00CA7D38"/>
    <w:rsid w:val="00CB174F"/>
    <w:rsid w:val="00CB2D96"/>
    <w:rsid w:val="00CB4118"/>
    <w:rsid w:val="00CB5839"/>
    <w:rsid w:val="00CC4754"/>
    <w:rsid w:val="00CC63A0"/>
    <w:rsid w:val="00CC7081"/>
    <w:rsid w:val="00CD0B20"/>
    <w:rsid w:val="00CE2F3B"/>
    <w:rsid w:val="00CE548A"/>
    <w:rsid w:val="00CF5916"/>
    <w:rsid w:val="00D011C8"/>
    <w:rsid w:val="00D023A0"/>
    <w:rsid w:val="00D02D0B"/>
    <w:rsid w:val="00D05F28"/>
    <w:rsid w:val="00D11C58"/>
    <w:rsid w:val="00D17C39"/>
    <w:rsid w:val="00D21623"/>
    <w:rsid w:val="00D2263B"/>
    <w:rsid w:val="00D34B07"/>
    <w:rsid w:val="00D359A9"/>
    <w:rsid w:val="00D37FDF"/>
    <w:rsid w:val="00D404D3"/>
    <w:rsid w:val="00D42DBF"/>
    <w:rsid w:val="00D44FA9"/>
    <w:rsid w:val="00D458FE"/>
    <w:rsid w:val="00D502C9"/>
    <w:rsid w:val="00D512FC"/>
    <w:rsid w:val="00D5371D"/>
    <w:rsid w:val="00D5711B"/>
    <w:rsid w:val="00D60587"/>
    <w:rsid w:val="00D6376F"/>
    <w:rsid w:val="00D64162"/>
    <w:rsid w:val="00D64168"/>
    <w:rsid w:val="00D70DF4"/>
    <w:rsid w:val="00D73EAD"/>
    <w:rsid w:val="00D8204E"/>
    <w:rsid w:val="00D83244"/>
    <w:rsid w:val="00D84427"/>
    <w:rsid w:val="00D845FA"/>
    <w:rsid w:val="00D87974"/>
    <w:rsid w:val="00D92815"/>
    <w:rsid w:val="00D96EFA"/>
    <w:rsid w:val="00D9774C"/>
    <w:rsid w:val="00DA0F8E"/>
    <w:rsid w:val="00DA1055"/>
    <w:rsid w:val="00DA5648"/>
    <w:rsid w:val="00DA66CD"/>
    <w:rsid w:val="00DA6976"/>
    <w:rsid w:val="00DA774B"/>
    <w:rsid w:val="00DB1381"/>
    <w:rsid w:val="00DB5214"/>
    <w:rsid w:val="00DB7B86"/>
    <w:rsid w:val="00DC0152"/>
    <w:rsid w:val="00DC2B10"/>
    <w:rsid w:val="00DC3123"/>
    <w:rsid w:val="00DD0776"/>
    <w:rsid w:val="00DD1E03"/>
    <w:rsid w:val="00DD3020"/>
    <w:rsid w:val="00DD3996"/>
    <w:rsid w:val="00DD4EA8"/>
    <w:rsid w:val="00DF224D"/>
    <w:rsid w:val="00DF26F1"/>
    <w:rsid w:val="00DF3841"/>
    <w:rsid w:val="00DF653F"/>
    <w:rsid w:val="00DF6CF0"/>
    <w:rsid w:val="00DF7186"/>
    <w:rsid w:val="00E0286D"/>
    <w:rsid w:val="00E07E88"/>
    <w:rsid w:val="00E129E5"/>
    <w:rsid w:val="00E1418C"/>
    <w:rsid w:val="00E16087"/>
    <w:rsid w:val="00E16830"/>
    <w:rsid w:val="00E16E8A"/>
    <w:rsid w:val="00E206B2"/>
    <w:rsid w:val="00E217E0"/>
    <w:rsid w:val="00E23260"/>
    <w:rsid w:val="00E3555A"/>
    <w:rsid w:val="00E40B44"/>
    <w:rsid w:val="00E52E31"/>
    <w:rsid w:val="00E55E58"/>
    <w:rsid w:val="00E55F0A"/>
    <w:rsid w:val="00E6162F"/>
    <w:rsid w:val="00E636F6"/>
    <w:rsid w:val="00E64DAB"/>
    <w:rsid w:val="00E64E9E"/>
    <w:rsid w:val="00E710C5"/>
    <w:rsid w:val="00E82968"/>
    <w:rsid w:val="00E82CAD"/>
    <w:rsid w:val="00E837A2"/>
    <w:rsid w:val="00E84BD4"/>
    <w:rsid w:val="00E8569A"/>
    <w:rsid w:val="00E85CB8"/>
    <w:rsid w:val="00E900B9"/>
    <w:rsid w:val="00E9358A"/>
    <w:rsid w:val="00EA1B35"/>
    <w:rsid w:val="00EA20F4"/>
    <w:rsid w:val="00EA359C"/>
    <w:rsid w:val="00EA44E6"/>
    <w:rsid w:val="00EA6072"/>
    <w:rsid w:val="00EB2468"/>
    <w:rsid w:val="00EC1D57"/>
    <w:rsid w:val="00EC7C08"/>
    <w:rsid w:val="00ED1F79"/>
    <w:rsid w:val="00ED3E0F"/>
    <w:rsid w:val="00ED54B8"/>
    <w:rsid w:val="00ED57A9"/>
    <w:rsid w:val="00ED5DF3"/>
    <w:rsid w:val="00EE3BC7"/>
    <w:rsid w:val="00EE50EF"/>
    <w:rsid w:val="00EE7F88"/>
    <w:rsid w:val="00EF0443"/>
    <w:rsid w:val="00EF7D7F"/>
    <w:rsid w:val="00F02480"/>
    <w:rsid w:val="00F02BD4"/>
    <w:rsid w:val="00F03089"/>
    <w:rsid w:val="00F138FA"/>
    <w:rsid w:val="00F15AC1"/>
    <w:rsid w:val="00F17640"/>
    <w:rsid w:val="00F17D1F"/>
    <w:rsid w:val="00F25255"/>
    <w:rsid w:val="00F26CAD"/>
    <w:rsid w:val="00F32C6B"/>
    <w:rsid w:val="00F33A06"/>
    <w:rsid w:val="00F36C25"/>
    <w:rsid w:val="00F36D63"/>
    <w:rsid w:val="00F36DAB"/>
    <w:rsid w:val="00F44124"/>
    <w:rsid w:val="00F55B69"/>
    <w:rsid w:val="00F60FE9"/>
    <w:rsid w:val="00F61414"/>
    <w:rsid w:val="00F65C12"/>
    <w:rsid w:val="00F66611"/>
    <w:rsid w:val="00F74A38"/>
    <w:rsid w:val="00F74A86"/>
    <w:rsid w:val="00F77C42"/>
    <w:rsid w:val="00F814B8"/>
    <w:rsid w:val="00F83384"/>
    <w:rsid w:val="00F836D7"/>
    <w:rsid w:val="00F84FDF"/>
    <w:rsid w:val="00FA56DF"/>
    <w:rsid w:val="00FA746E"/>
    <w:rsid w:val="00FB1C94"/>
    <w:rsid w:val="00FB5FF8"/>
    <w:rsid w:val="00FC6AA9"/>
    <w:rsid w:val="00FD0A69"/>
    <w:rsid w:val="00FD1BD2"/>
    <w:rsid w:val="00FD7A69"/>
    <w:rsid w:val="00FE2D98"/>
    <w:rsid w:val="00FE3504"/>
    <w:rsid w:val="00FE4B72"/>
    <w:rsid w:val="00FF0A1C"/>
    <w:rsid w:val="00FF245C"/>
    <w:rsid w:val="00FF5DD6"/>
    <w:rsid w:val="00FF610D"/>
    <w:rsid w:val="00FF7696"/>
    <w:rsid w:val="00FF7C20"/>
    <w:rsid w:val="0229A5F1"/>
    <w:rsid w:val="0298448A"/>
    <w:rsid w:val="0307F759"/>
    <w:rsid w:val="031097F8"/>
    <w:rsid w:val="0367E65D"/>
    <w:rsid w:val="036A7809"/>
    <w:rsid w:val="038BEECE"/>
    <w:rsid w:val="0392BA0E"/>
    <w:rsid w:val="03C1B53D"/>
    <w:rsid w:val="03D08675"/>
    <w:rsid w:val="040B7D4A"/>
    <w:rsid w:val="046E4C8A"/>
    <w:rsid w:val="04B6383F"/>
    <w:rsid w:val="04C1D15A"/>
    <w:rsid w:val="04D4B934"/>
    <w:rsid w:val="05083E1C"/>
    <w:rsid w:val="0527A4BD"/>
    <w:rsid w:val="0575A29E"/>
    <w:rsid w:val="059C74DB"/>
    <w:rsid w:val="05B6435E"/>
    <w:rsid w:val="06708995"/>
    <w:rsid w:val="06CE2E22"/>
    <w:rsid w:val="071723A9"/>
    <w:rsid w:val="07267B8D"/>
    <w:rsid w:val="076411A4"/>
    <w:rsid w:val="07AEAF47"/>
    <w:rsid w:val="07EFB422"/>
    <w:rsid w:val="080B76F7"/>
    <w:rsid w:val="082F998E"/>
    <w:rsid w:val="08B04E98"/>
    <w:rsid w:val="08B24F64"/>
    <w:rsid w:val="094B9DC3"/>
    <w:rsid w:val="0994527F"/>
    <w:rsid w:val="0994F4E0"/>
    <w:rsid w:val="099EC0F7"/>
    <w:rsid w:val="09CD78FD"/>
    <w:rsid w:val="09D7AC71"/>
    <w:rsid w:val="09D935D2"/>
    <w:rsid w:val="09DD435C"/>
    <w:rsid w:val="0A07EFDF"/>
    <w:rsid w:val="0A49AC5A"/>
    <w:rsid w:val="0A514784"/>
    <w:rsid w:val="0A54AE35"/>
    <w:rsid w:val="0AB9B476"/>
    <w:rsid w:val="0ACB92AD"/>
    <w:rsid w:val="0B2754E4"/>
    <w:rsid w:val="0B3C5172"/>
    <w:rsid w:val="0B724B36"/>
    <w:rsid w:val="0B80209E"/>
    <w:rsid w:val="0BED17E5"/>
    <w:rsid w:val="0C266BF8"/>
    <w:rsid w:val="0C3919A0"/>
    <w:rsid w:val="0C64EF34"/>
    <w:rsid w:val="0CBFBE6F"/>
    <w:rsid w:val="0CD661B9"/>
    <w:rsid w:val="0D121430"/>
    <w:rsid w:val="0D31AB00"/>
    <w:rsid w:val="0D77952B"/>
    <w:rsid w:val="0D911389"/>
    <w:rsid w:val="0D97FAA7"/>
    <w:rsid w:val="0E5CF1EE"/>
    <w:rsid w:val="0E9A3AD9"/>
    <w:rsid w:val="0EDEF7C1"/>
    <w:rsid w:val="0F049AB5"/>
    <w:rsid w:val="0F1F1B42"/>
    <w:rsid w:val="0F938E1B"/>
    <w:rsid w:val="0F9BD2B9"/>
    <w:rsid w:val="104A339E"/>
    <w:rsid w:val="10BD422E"/>
    <w:rsid w:val="11216F4F"/>
    <w:rsid w:val="11554570"/>
    <w:rsid w:val="11B55877"/>
    <w:rsid w:val="11B5BDD4"/>
    <w:rsid w:val="11BA0989"/>
    <w:rsid w:val="11C1360A"/>
    <w:rsid w:val="11FE67C5"/>
    <w:rsid w:val="128DD6D2"/>
    <w:rsid w:val="12DDE8AD"/>
    <w:rsid w:val="12F9F2B1"/>
    <w:rsid w:val="13012B31"/>
    <w:rsid w:val="13303B89"/>
    <w:rsid w:val="134CB6A0"/>
    <w:rsid w:val="13CEFA82"/>
    <w:rsid w:val="1429A733"/>
    <w:rsid w:val="14326697"/>
    <w:rsid w:val="14A9C7E9"/>
    <w:rsid w:val="14B36168"/>
    <w:rsid w:val="1523FF2E"/>
    <w:rsid w:val="156ACAE3"/>
    <w:rsid w:val="159B3DE6"/>
    <w:rsid w:val="15AAAE0F"/>
    <w:rsid w:val="16219287"/>
    <w:rsid w:val="1638CBF3"/>
    <w:rsid w:val="164B59F6"/>
    <w:rsid w:val="1671E5A6"/>
    <w:rsid w:val="16B4476F"/>
    <w:rsid w:val="16B5B462"/>
    <w:rsid w:val="16BC9F7D"/>
    <w:rsid w:val="16BD986F"/>
    <w:rsid w:val="16D22800"/>
    <w:rsid w:val="170B4B38"/>
    <w:rsid w:val="1734D57F"/>
    <w:rsid w:val="174758A5"/>
    <w:rsid w:val="17E168AB"/>
    <w:rsid w:val="181142E9"/>
    <w:rsid w:val="1852AA92"/>
    <w:rsid w:val="18C3928E"/>
    <w:rsid w:val="1929F013"/>
    <w:rsid w:val="192EA78C"/>
    <w:rsid w:val="1933D30C"/>
    <w:rsid w:val="19487CFA"/>
    <w:rsid w:val="197D390C"/>
    <w:rsid w:val="19FD11C1"/>
    <w:rsid w:val="1A3E3C06"/>
    <w:rsid w:val="1A70CAAD"/>
    <w:rsid w:val="1ABB482A"/>
    <w:rsid w:val="1AC63D39"/>
    <w:rsid w:val="1ACA77ED"/>
    <w:rsid w:val="1B1157DA"/>
    <w:rsid w:val="1B15DF18"/>
    <w:rsid w:val="1B432A1B"/>
    <w:rsid w:val="1B4BEFC5"/>
    <w:rsid w:val="1B74BE08"/>
    <w:rsid w:val="1B771D99"/>
    <w:rsid w:val="1B854BA0"/>
    <w:rsid w:val="1B8D2ADB"/>
    <w:rsid w:val="1B901BBF"/>
    <w:rsid w:val="1BAD2B4F"/>
    <w:rsid w:val="1BD456E6"/>
    <w:rsid w:val="1C16DB5E"/>
    <w:rsid w:val="1C219ADC"/>
    <w:rsid w:val="1C2338D4"/>
    <w:rsid w:val="1C4FE4F2"/>
    <w:rsid w:val="1D1E43CA"/>
    <w:rsid w:val="1DA86B6F"/>
    <w:rsid w:val="1DC1872D"/>
    <w:rsid w:val="1DE04876"/>
    <w:rsid w:val="1DF2B158"/>
    <w:rsid w:val="1DFDBB02"/>
    <w:rsid w:val="1E0DD0FD"/>
    <w:rsid w:val="1E2F32E8"/>
    <w:rsid w:val="1E9F7FC8"/>
    <w:rsid w:val="1EA86040"/>
    <w:rsid w:val="1EDA9BB5"/>
    <w:rsid w:val="1F15C479"/>
    <w:rsid w:val="1F2A8F4D"/>
    <w:rsid w:val="1F2B1373"/>
    <w:rsid w:val="1FD10D40"/>
    <w:rsid w:val="1FDE89AA"/>
    <w:rsid w:val="1FE36BDE"/>
    <w:rsid w:val="20C37399"/>
    <w:rsid w:val="20FA73E9"/>
    <w:rsid w:val="20FD2878"/>
    <w:rsid w:val="21014C74"/>
    <w:rsid w:val="2180559D"/>
    <w:rsid w:val="21AA5C3B"/>
    <w:rsid w:val="21EF1AA3"/>
    <w:rsid w:val="227BA9C1"/>
    <w:rsid w:val="22BA463D"/>
    <w:rsid w:val="238B20E9"/>
    <w:rsid w:val="23C5ACFD"/>
    <w:rsid w:val="23D38E42"/>
    <w:rsid w:val="23DD2C0F"/>
    <w:rsid w:val="24095C94"/>
    <w:rsid w:val="24EC2CB9"/>
    <w:rsid w:val="24EE1EFA"/>
    <w:rsid w:val="24F424D4"/>
    <w:rsid w:val="250DB0EB"/>
    <w:rsid w:val="251BEF85"/>
    <w:rsid w:val="25586D0A"/>
    <w:rsid w:val="25841AEF"/>
    <w:rsid w:val="25A52CF5"/>
    <w:rsid w:val="25F71CDB"/>
    <w:rsid w:val="2684B88B"/>
    <w:rsid w:val="26CA4A70"/>
    <w:rsid w:val="26FC8FDA"/>
    <w:rsid w:val="272B96DF"/>
    <w:rsid w:val="2739FD3F"/>
    <w:rsid w:val="2740FD56"/>
    <w:rsid w:val="2749272C"/>
    <w:rsid w:val="275C6A45"/>
    <w:rsid w:val="2765AADA"/>
    <w:rsid w:val="27C140A7"/>
    <w:rsid w:val="281DFD53"/>
    <w:rsid w:val="2878873D"/>
    <w:rsid w:val="28D4F90A"/>
    <w:rsid w:val="28EA3B5F"/>
    <w:rsid w:val="298CC8AB"/>
    <w:rsid w:val="29B2E64A"/>
    <w:rsid w:val="2A41DFE6"/>
    <w:rsid w:val="2A7790EB"/>
    <w:rsid w:val="2A789E18"/>
    <w:rsid w:val="2A8539D8"/>
    <w:rsid w:val="2AA0C83B"/>
    <w:rsid w:val="2B133295"/>
    <w:rsid w:val="2B5D607E"/>
    <w:rsid w:val="2BAA97A5"/>
    <w:rsid w:val="2BC53EA7"/>
    <w:rsid w:val="2BFA533D"/>
    <w:rsid w:val="2C3A48BE"/>
    <w:rsid w:val="2C5E686E"/>
    <w:rsid w:val="2C7672B2"/>
    <w:rsid w:val="2CEF2FDA"/>
    <w:rsid w:val="2D3B6F75"/>
    <w:rsid w:val="2D41F311"/>
    <w:rsid w:val="2D6BD15E"/>
    <w:rsid w:val="2D806A89"/>
    <w:rsid w:val="2E83DAD5"/>
    <w:rsid w:val="2EB9A638"/>
    <w:rsid w:val="2EDEAC55"/>
    <w:rsid w:val="2F31BAD8"/>
    <w:rsid w:val="3036EBC6"/>
    <w:rsid w:val="305E0B6F"/>
    <w:rsid w:val="307B8CF9"/>
    <w:rsid w:val="30E6D26F"/>
    <w:rsid w:val="31080D7E"/>
    <w:rsid w:val="318B1252"/>
    <w:rsid w:val="31CAD7A7"/>
    <w:rsid w:val="32160B34"/>
    <w:rsid w:val="32291BC2"/>
    <w:rsid w:val="3277706E"/>
    <w:rsid w:val="3282A2D0"/>
    <w:rsid w:val="3292FCE8"/>
    <w:rsid w:val="3299BB11"/>
    <w:rsid w:val="329BA7AB"/>
    <w:rsid w:val="32A98883"/>
    <w:rsid w:val="32E17FE8"/>
    <w:rsid w:val="334EA0DE"/>
    <w:rsid w:val="33687263"/>
    <w:rsid w:val="3370031E"/>
    <w:rsid w:val="33A0FCEB"/>
    <w:rsid w:val="33FA0E2A"/>
    <w:rsid w:val="3406C304"/>
    <w:rsid w:val="3464AF99"/>
    <w:rsid w:val="347828E9"/>
    <w:rsid w:val="34BCB44F"/>
    <w:rsid w:val="34E6EC06"/>
    <w:rsid w:val="350442C4"/>
    <w:rsid w:val="3540F1EA"/>
    <w:rsid w:val="35770CBF"/>
    <w:rsid w:val="359661A9"/>
    <w:rsid w:val="364424D1"/>
    <w:rsid w:val="36734072"/>
    <w:rsid w:val="3681EBF5"/>
    <w:rsid w:val="36828122"/>
    <w:rsid w:val="36A01325"/>
    <w:rsid w:val="36A9536B"/>
    <w:rsid w:val="36AE0685"/>
    <w:rsid w:val="36E3F659"/>
    <w:rsid w:val="3742201E"/>
    <w:rsid w:val="377B3EB0"/>
    <w:rsid w:val="378BEE67"/>
    <w:rsid w:val="37E262E6"/>
    <w:rsid w:val="37F23A6C"/>
    <w:rsid w:val="381E257E"/>
    <w:rsid w:val="383BE386"/>
    <w:rsid w:val="384CF674"/>
    <w:rsid w:val="385A9997"/>
    <w:rsid w:val="391407FE"/>
    <w:rsid w:val="39557479"/>
    <w:rsid w:val="3980B103"/>
    <w:rsid w:val="39D7B3E7"/>
    <w:rsid w:val="39EE19FB"/>
    <w:rsid w:val="3A0E3328"/>
    <w:rsid w:val="3A39742B"/>
    <w:rsid w:val="3A748C58"/>
    <w:rsid w:val="3AC27802"/>
    <w:rsid w:val="3AF7AE6D"/>
    <w:rsid w:val="3B2CB046"/>
    <w:rsid w:val="3B3A2DEF"/>
    <w:rsid w:val="3B738448"/>
    <w:rsid w:val="3B7B71CE"/>
    <w:rsid w:val="3B8B934F"/>
    <w:rsid w:val="3BDD6C6E"/>
    <w:rsid w:val="3C23A124"/>
    <w:rsid w:val="3C9D1C6D"/>
    <w:rsid w:val="3CDC9E29"/>
    <w:rsid w:val="3E7C294F"/>
    <w:rsid w:val="3E8ED02B"/>
    <w:rsid w:val="3EAB250A"/>
    <w:rsid w:val="3F21408B"/>
    <w:rsid w:val="4105F0EC"/>
    <w:rsid w:val="41467FA5"/>
    <w:rsid w:val="4149AE38"/>
    <w:rsid w:val="414DA57D"/>
    <w:rsid w:val="415655C1"/>
    <w:rsid w:val="41A80150"/>
    <w:rsid w:val="41A96D18"/>
    <w:rsid w:val="41AE53DA"/>
    <w:rsid w:val="41AFCBEA"/>
    <w:rsid w:val="41D89DFC"/>
    <w:rsid w:val="41E2B81E"/>
    <w:rsid w:val="423AF393"/>
    <w:rsid w:val="4243FAC4"/>
    <w:rsid w:val="425DBD87"/>
    <w:rsid w:val="4302CF58"/>
    <w:rsid w:val="43453D79"/>
    <w:rsid w:val="435C9533"/>
    <w:rsid w:val="438683B3"/>
    <w:rsid w:val="442EF9FC"/>
    <w:rsid w:val="4478A1FF"/>
    <w:rsid w:val="44E10DDA"/>
    <w:rsid w:val="454E9AAD"/>
    <w:rsid w:val="454F166F"/>
    <w:rsid w:val="46130D53"/>
    <w:rsid w:val="463F0507"/>
    <w:rsid w:val="467CDE3B"/>
    <w:rsid w:val="46A91394"/>
    <w:rsid w:val="46C45453"/>
    <w:rsid w:val="46D6F67F"/>
    <w:rsid w:val="47387E42"/>
    <w:rsid w:val="475654DA"/>
    <w:rsid w:val="483937B0"/>
    <w:rsid w:val="483D38D4"/>
    <w:rsid w:val="4851162D"/>
    <w:rsid w:val="48A00471"/>
    <w:rsid w:val="4909CA15"/>
    <w:rsid w:val="49188A08"/>
    <w:rsid w:val="49750260"/>
    <w:rsid w:val="49BC18C5"/>
    <w:rsid w:val="49E08F3F"/>
    <w:rsid w:val="4A860950"/>
    <w:rsid w:val="4AEF6D4D"/>
    <w:rsid w:val="4B3C205C"/>
    <w:rsid w:val="4BA5FAB3"/>
    <w:rsid w:val="4BAD7338"/>
    <w:rsid w:val="4BD0FC9F"/>
    <w:rsid w:val="4BECD9BB"/>
    <w:rsid w:val="4C18FB09"/>
    <w:rsid w:val="4C2181A5"/>
    <w:rsid w:val="4C5C16C9"/>
    <w:rsid w:val="4D9F14A6"/>
    <w:rsid w:val="4DE64184"/>
    <w:rsid w:val="4E043B98"/>
    <w:rsid w:val="4E5A526B"/>
    <w:rsid w:val="4E7EF197"/>
    <w:rsid w:val="4EACE1CE"/>
    <w:rsid w:val="4EF57CF3"/>
    <w:rsid w:val="4EF9772F"/>
    <w:rsid w:val="4FCD13BF"/>
    <w:rsid w:val="4FF738D5"/>
    <w:rsid w:val="503BC143"/>
    <w:rsid w:val="509F4B03"/>
    <w:rsid w:val="50FE0759"/>
    <w:rsid w:val="511D5653"/>
    <w:rsid w:val="5152FA28"/>
    <w:rsid w:val="516E79D1"/>
    <w:rsid w:val="51B948A7"/>
    <w:rsid w:val="51D520BA"/>
    <w:rsid w:val="5223B455"/>
    <w:rsid w:val="528D43DF"/>
    <w:rsid w:val="5295AD23"/>
    <w:rsid w:val="5296B714"/>
    <w:rsid w:val="5299D7BA"/>
    <w:rsid w:val="5299FC93"/>
    <w:rsid w:val="52EE5A17"/>
    <w:rsid w:val="5310B23B"/>
    <w:rsid w:val="53768096"/>
    <w:rsid w:val="537D1936"/>
    <w:rsid w:val="53931FE5"/>
    <w:rsid w:val="53D0A0B8"/>
    <w:rsid w:val="54817351"/>
    <w:rsid w:val="5483167B"/>
    <w:rsid w:val="54ED1E12"/>
    <w:rsid w:val="5508BE80"/>
    <w:rsid w:val="55333C23"/>
    <w:rsid w:val="555B5517"/>
    <w:rsid w:val="5595AB95"/>
    <w:rsid w:val="55F790AE"/>
    <w:rsid w:val="56564B64"/>
    <w:rsid w:val="5681406F"/>
    <w:rsid w:val="56A400E7"/>
    <w:rsid w:val="56B4B9F8"/>
    <w:rsid w:val="57AEE2D5"/>
    <w:rsid w:val="57B35EF8"/>
    <w:rsid w:val="57EC2ACD"/>
    <w:rsid w:val="57F6BFA6"/>
    <w:rsid w:val="58508A59"/>
    <w:rsid w:val="586CA928"/>
    <w:rsid w:val="5954F07B"/>
    <w:rsid w:val="599AF377"/>
    <w:rsid w:val="59F6B662"/>
    <w:rsid w:val="5AA92922"/>
    <w:rsid w:val="5ABBC08F"/>
    <w:rsid w:val="5AE68397"/>
    <w:rsid w:val="5B4625EA"/>
    <w:rsid w:val="5B6FBA8C"/>
    <w:rsid w:val="5B9D9192"/>
    <w:rsid w:val="5BAE5C72"/>
    <w:rsid w:val="5BBC1EF2"/>
    <w:rsid w:val="5BC7794D"/>
    <w:rsid w:val="5C867C87"/>
    <w:rsid w:val="5C87B91F"/>
    <w:rsid w:val="5CF4F477"/>
    <w:rsid w:val="5D71F62C"/>
    <w:rsid w:val="5E1E2459"/>
    <w:rsid w:val="5E224CE8"/>
    <w:rsid w:val="5E2DDEDF"/>
    <w:rsid w:val="5E2F1C42"/>
    <w:rsid w:val="5E4FE9E4"/>
    <w:rsid w:val="5E501175"/>
    <w:rsid w:val="5E510470"/>
    <w:rsid w:val="5E90C4D8"/>
    <w:rsid w:val="5ED33F8C"/>
    <w:rsid w:val="5F23657E"/>
    <w:rsid w:val="5FB9F4BA"/>
    <w:rsid w:val="5FF65080"/>
    <w:rsid w:val="60C3DBAA"/>
    <w:rsid w:val="60EBA145"/>
    <w:rsid w:val="61C0CF94"/>
    <w:rsid w:val="6278D92A"/>
    <w:rsid w:val="6326C93B"/>
    <w:rsid w:val="63404B48"/>
    <w:rsid w:val="6352A387"/>
    <w:rsid w:val="63F8B146"/>
    <w:rsid w:val="64E7A53F"/>
    <w:rsid w:val="64EB3BAC"/>
    <w:rsid w:val="64FC3EC5"/>
    <w:rsid w:val="6546481E"/>
    <w:rsid w:val="65E3A17A"/>
    <w:rsid w:val="666059AC"/>
    <w:rsid w:val="666CD6B9"/>
    <w:rsid w:val="66CD7D36"/>
    <w:rsid w:val="68967DEA"/>
    <w:rsid w:val="6919488B"/>
    <w:rsid w:val="693EDBBF"/>
    <w:rsid w:val="69574F68"/>
    <w:rsid w:val="697077C5"/>
    <w:rsid w:val="69ED1C3D"/>
    <w:rsid w:val="6A1E0545"/>
    <w:rsid w:val="6A387B35"/>
    <w:rsid w:val="6A611FC3"/>
    <w:rsid w:val="6A694221"/>
    <w:rsid w:val="6A7E664E"/>
    <w:rsid w:val="6A846A58"/>
    <w:rsid w:val="6AB84AF5"/>
    <w:rsid w:val="6AD11283"/>
    <w:rsid w:val="6ADDEECD"/>
    <w:rsid w:val="6AF7C92B"/>
    <w:rsid w:val="6AFCA761"/>
    <w:rsid w:val="6B1B57E3"/>
    <w:rsid w:val="6BE76B7C"/>
    <w:rsid w:val="6C8E4D9D"/>
    <w:rsid w:val="6CB29F5D"/>
    <w:rsid w:val="6CD02750"/>
    <w:rsid w:val="6D316822"/>
    <w:rsid w:val="6D3794F9"/>
    <w:rsid w:val="6D4734F1"/>
    <w:rsid w:val="6D4C6874"/>
    <w:rsid w:val="6D9890C9"/>
    <w:rsid w:val="6DE0B6EB"/>
    <w:rsid w:val="6E298E35"/>
    <w:rsid w:val="6E2AC08B"/>
    <w:rsid w:val="6E43E8E8"/>
    <w:rsid w:val="6E8C7F65"/>
    <w:rsid w:val="6E9DC05A"/>
    <w:rsid w:val="6F08315A"/>
    <w:rsid w:val="6F0EE2B9"/>
    <w:rsid w:val="6F30A192"/>
    <w:rsid w:val="6F5451AF"/>
    <w:rsid w:val="701E74B9"/>
    <w:rsid w:val="705D7A98"/>
    <w:rsid w:val="70656DC2"/>
    <w:rsid w:val="70A2A6DB"/>
    <w:rsid w:val="70A862D0"/>
    <w:rsid w:val="70CF99A9"/>
    <w:rsid w:val="70E5B1E1"/>
    <w:rsid w:val="7123C857"/>
    <w:rsid w:val="71364776"/>
    <w:rsid w:val="714377EE"/>
    <w:rsid w:val="714AC208"/>
    <w:rsid w:val="7162614D"/>
    <w:rsid w:val="7173BDA5"/>
    <w:rsid w:val="724C81F5"/>
    <w:rsid w:val="73593A4E"/>
    <w:rsid w:val="7381AE99"/>
    <w:rsid w:val="73DC409C"/>
    <w:rsid w:val="73EFBE18"/>
    <w:rsid w:val="73F05F7A"/>
    <w:rsid w:val="742E8BD7"/>
    <w:rsid w:val="746C985F"/>
    <w:rsid w:val="7478F0B1"/>
    <w:rsid w:val="74905F6B"/>
    <w:rsid w:val="74A9232F"/>
    <w:rsid w:val="74BF40A7"/>
    <w:rsid w:val="7513146C"/>
    <w:rsid w:val="752FBFBD"/>
    <w:rsid w:val="75D246A9"/>
    <w:rsid w:val="7687DD6D"/>
    <w:rsid w:val="777DDF53"/>
    <w:rsid w:val="779641C7"/>
    <w:rsid w:val="77B8ED2F"/>
    <w:rsid w:val="77D1A2D1"/>
    <w:rsid w:val="783985FB"/>
    <w:rsid w:val="788C0583"/>
    <w:rsid w:val="78E4124D"/>
    <w:rsid w:val="78F86F9B"/>
    <w:rsid w:val="7913B53E"/>
    <w:rsid w:val="79176A86"/>
    <w:rsid w:val="7928657E"/>
    <w:rsid w:val="793FD3B9"/>
    <w:rsid w:val="79529D70"/>
    <w:rsid w:val="79BCE0C9"/>
    <w:rsid w:val="79BED117"/>
    <w:rsid w:val="7A0ECF5E"/>
    <w:rsid w:val="7A42EF1B"/>
    <w:rsid w:val="7AAB0D82"/>
    <w:rsid w:val="7AB496AF"/>
    <w:rsid w:val="7B694DF6"/>
    <w:rsid w:val="7CC9A74E"/>
    <w:rsid w:val="7D3D0831"/>
    <w:rsid w:val="7D715D91"/>
    <w:rsid w:val="7D93DFE7"/>
    <w:rsid w:val="7D98D6E7"/>
    <w:rsid w:val="7DBAD9D8"/>
    <w:rsid w:val="7DE85E53"/>
    <w:rsid w:val="7E829A48"/>
    <w:rsid w:val="7E94A706"/>
    <w:rsid w:val="7F70C118"/>
    <w:rsid w:val="7F99776E"/>
    <w:rsid w:val="7FF460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AB4C6"/>
  <w15:chartTrackingRefBased/>
  <w15:docId w15:val="{25809761-8665-466E-989B-210B6BFB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AD8"/>
    <w:pPr>
      <w:tabs>
        <w:tab w:val="center" w:pos="4513"/>
        <w:tab w:val="right" w:pos="9026"/>
      </w:tabs>
    </w:pPr>
  </w:style>
  <w:style w:type="character" w:customStyle="1" w:styleId="HeaderChar">
    <w:name w:val="Header Char"/>
    <w:basedOn w:val="DefaultParagraphFont"/>
    <w:link w:val="Header"/>
    <w:uiPriority w:val="99"/>
    <w:rsid w:val="00510AD8"/>
  </w:style>
  <w:style w:type="paragraph" w:styleId="Footer">
    <w:name w:val="footer"/>
    <w:basedOn w:val="Normal"/>
    <w:link w:val="FooterChar"/>
    <w:uiPriority w:val="99"/>
    <w:unhideWhenUsed/>
    <w:rsid w:val="00510AD8"/>
    <w:pPr>
      <w:tabs>
        <w:tab w:val="center" w:pos="4513"/>
        <w:tab w:val="right" w:pos="9026"/>
      </w:tabs>
    </w:pPr>
  </w:style>
  <w:style w:type="character" w:customStyle="1" w:styleId="FooterChar">
    <w:name w:val="Footer Char"/>
    <w:basedOn w:val="DefaultParagraphFont"/>
    <w:link w:val="Footer"/>
    <w:uiPriority w:val="99"/>
    <w:rsid w:val="00510AD8"/>
  </w:style>
  <w:style w:type="table" w:styleId="TableGrid">
    <w:name w:val="Table Grid"/>
    <w:basedOn w:val="TableNormal"/>
    <w:uiPriority w:val="39"/>
    <w:rsid w:val="00510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07DA"/>
    <w:pPr>
      <w:spacing w:before="100" w:beforeAutospacing="1" w:after="100" w:afterAutospacing="1"/>
    </w:pPr>
    <w:rPr>
      <w:rFonts w:ascii="Calibri" w:hAnsi="Calibri" w:cs="Calibri"/>
      <w:sz w:val="22"/>
      <w:lang w:eastAsia="en-GB"/>
    </w:rPr>
  </w:style>
  <w:style w:type="character" w:styleId="Hyperlink">
    <w:name w:val="Hyperlink"/>
    <w:rsid w:val="005607DA"/>
    <w:rPr>
      <w:color w:val="000080"/>
      <w:u w:val="single"/>
    </w:rPr>
  </w:style>
  <w:style w:type="paragraph" w:styleId="ListParagraph">
    <w:name w:val="List Paragraph"/>
    <w:basedOn w:val="Normal"/>
    <w:uiPriority w:val="34"/>
    <w:qFormat/>
    <w:rsid w:val="005607DA"/>
    <w:pPr>
      <w:spacing w:after="160" w:line="259" w:lineRule="auto"/>
      <w:ind w:left="720"/>
      <w:contextualSpacing/>
    </w:pPr>
    <w:rPr>
      <w:rFonts w:asciiTheme="minorHAnsi" w:hAnsiTheme="minorHAnsi"/>
      <w:sz w:val="22"/>
    </w:rPr>
  </w:style>
  <w:style w:type="character" w:styleId="UnresolvedMention">
    <w:name w:val="Unresolved Mention"/>
    <w:basedOn w:val="DefaultParagraphFont"/>
    <w:uiPriority w:val="99"/>
    <w:semiHidden/>
    <w:unhideWhenUsed/>
    <w:rsid w:val="00483CEF"/>
    <w:rPr>
      <w:color w:val="605E5C"/>
      <w:shd w:val="clear" w:color="auto" w:fill="E1DFDD"/>
    </w:rPr>
  </w:style>
  <w:style w:type="character" w:styleId="CommentReference">
    <w:name w:val="annotation reference"/>
    <w:basedOn w:val="DefaultParagraphFont"/>
    <w:uiPriority w:val="99"/>
    <w:semiHidden/>
    <w:unhideWhenUsed/>
    <w:rsid w:val="005876F2"/>
    <w:rPr>
      <w:sz w:val="16"/>
      <w:szCs w:val="16"/>
    </w:rPr>
  </w:style>
  <w:style w:type="paragraph" w:styleId="CommentText">
    <w:name w:val="annotation text"/>
    <w:basedOn w:val="Normal"/>
    <w:link w:val="CommentTextChar"/>
    <w:uiPriority w:val="99"/>
    <w:unhideWhenUsed/>
    <w:rsid w:val="005876F2"/>
    <w:rPr>
      <w:sz w:val="20"/>
      <w:szCs w:val="20"/>
    </w:rPr>
  </w:style>
  <w:style w:type="character" w:customStyle="1" w:styleId="CommentTextChar">
    <w:name w:val="Comment Text Char"/>
    <w:basedOn w:val="DefaultParagraphFont"/>
    <w:link w:val="CommentText"/>
    <w:uiPriority w:val="99"/>
    <w:rsid w:val="005876F2"/>
    <w:rPr>
      <w:sz w:val="20"/>
      <w:szCs w:val="20"/>
    </w:rPr>
  </w:style>
  <w:style w:type="paragraph" w:styleId="CommentSubject">
    <w:name w:val="annotation subject"/>
    <w:basedOn w:val="CommentText"/>
    <w:next w:val="CommentText"/>
    <w:link w:val="CommentSubjectChar"/>
    <w:uiPriority w:val="99"/>
    <w:semiHidden/>
    <w:unhideWhenUsed/>
    <w:rsid w:val="005876F2"/>
    <w:rPr>
      <w:b/>
      <w:bCs/>
    </w:rPr>
  </w:style>
  <w:style w:type="character" w:customStyle="1" w:styleId="CommentSubjectChar">
    <w:name w:val="Comment Subject Char"/>
    <w:basedOn w:val="CommentTextChar"/>
    <w:link w:val="CommentSubject"/>
    <w:uiPriority w:val="99"/>
    <w:semiHidden/>
    <w:rsid w:val="005876F2"/>
    <w:rPr>
      <w:b/>
      <w:bCs/>
      <w:sz w:val="20"/>
      <w:szCs w:val="20"/>
    </w:rPr>
  </w:style>
  <w:style w:type="character" w:styleId="FollowedHyperlink">
    <w:name w:val="FollowedHyperlink"/>
    <w:basedOn w:val="DefaultParagraphFont"/>
    <w:uiPriority w:val="99"/>
    <w:semiHidden/>
    <w:unhideWhenUsed/>
    <w:rsid w:val="00C77F5C"/>
    <w:rPr>
      <w:color w:val="954F72" w:themeColor="followedHyperlink"/>
      <w:u w:val="single"/>
    </w:rPr>
  </w:style>
  <w:style w:type="paragraph" w:styleId="PlainText">
    <w:name w:val="Plain Text"/>
    <w:basedOn w:val="Normal"/>
    <w:link w:val="PlainTextChar"/>
    <w:uiPriority w:val="99"/>
    <w:unhideWhenUsed/>
    <w:rsid w:val="003E07C4"/>
    <w:rPr>
      <w:rFonts w:ascii="Calibri" w:hAnsi="Calibri"/>
      <w:sz w:val="22"/>
      <w:szCs w:val="21"/>
    </w:rPr>
  </w:style>
  <w:style w:type="character" w:customStyle="1" w:styleId="PlainTextChar">
    <w:name w:val="Plain Text Char"/>
    <w:basedOn w:val="DefaultParagraphFont"/>
    <w:link w:val="PlainText"/>
    <w:uiPriority w:val="99"/>
    <w:rsid w:val="003E07C4"/>
    <w:rPr>
      <w:rFonts w:ascii="Calibri" w:hAnsi="Calibri"/>
      <w:sz w:val="22"/>
      <w:szCs w:val="21"/>
    </w:rPr>
  </w:style>
  <w:style w:type="paragraph" w:customStyle="1" w:styleId="xmsonormal">
    <w:name w:val="x_msonormal"/>
    <w:basedOn w:val="Normal"/>
    <w:rsid w:val="002004F9"/>
    <w:rPr>
      <w:rFonts w:ascii="Calibri" w:hAnsi="Calibri" w:cs="Calibri"/>
      <w:sz w:val="22"/>
      <w:lang w:eastAsia="en-GB"/>
    </w:rPr>
  </w:style>
  <w:style w:type="paragraph" w:styleId="Revision">
    <w:name w:val="Revision"/>
    <w:hidden/>
    <w:uiPriority w:val="99"/>
    <w:semiHidden/>
    <w:rsid w:val="005366E3"/>
  </w:style>
  <w:style w:type="character" w:customStyle="1" w:styleId="apple-converted-space">
    <w:name w:val="apple-converted-space"/>
    <w:basedOn w:val="DefaultParagraphFont"/>
    <w:rsid w:val="00D34B07"/>
  </w:style>
  <w:style w:type="paragraph" w:customStyle="1" w:styleId="Default">
    <w:name w:val="Default"/>
    <w:rsid w:val="0084673E"/>
    <w:pPr>
      <w:autoSpaceDE w:val="0"/>
      <w:autoSpaceDN w:val="0"/>
      <w:adjustRightInd w:val="0"/>
    </w:pPr>
    <w:rPr>
      <w:rFonts w:ascii="Poppins" w:hAnsi="Poppins" w:cs="Poppins"/>
      <w:color w:val="000000"/>
      <w:szCs w:val="24"/>
    </w:rPr>
  </w:style>
  <w:style w:type="character" w:styleId="Mention">
    <w:name w:val="Mention"/>
    <w:basedOn w:val="DefaultParagraphFont"/>
    <w:uiPriority w:val="99"/>
    <w:unhideWhenUsed/>
    <w:rsid w:val="00111691"/>
    <w:rPr>
      <w:color w:val="2B579A"/>
      <w:shd w:val="clear" w:color="auto" w:fill="E1DFDD"/>
    </w:rPr>
  </w:style>
  <w:style w:type="paragraph" w:customStyle="1" w:styleId="elementtoproof">
    <w:name w:val="elementtoproof"/>
    <w:basedOn w:val="Normal"/>
    <w:rsid w:val="004B2DC1"/>
    <w:pPr>
      <w:spacing w:before="100" w:beforeAutospacing="1" w:after="100" w:afterAutospacing="1"/>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3283">
      <w:bodyDiv w:val="1"/>
      <w:marLeft w:val="0"/>
      <w:marRight w:val="0"/>
      <w:marTop w:val="0"/>
      <w:marBottom w:val="0"/>
      <w:divBdr>
        <w:top w:val="none" w:sz="0" w:space="0" w:color="auto"/>
        <w:left w:val="none" w:sz="0" w:space="0" w:color="auto"/>
        <w:bottom w:val="none" w:sz="0" w:space="0" w:color="auto"/>
        <w:right w:val="none" w:sz="0" w:space="0" w:color="auto"/>
      </w:divBdr>
    </w:div>
    <w:div w:id="74522247">
      <w:bodyDiv w:val="1"/>
      <w:marLeft w:val="0"/>
      <w:marRight w:val="0"/>
      <w:marTop w:val="0"/>
      <w:marBottom w:val="0"/>
      <w:divBdr>
        <w:top w:val="none" w:sz="0" w:space="0" w:color="auto"/>
        <w:left w:val="none" w:sz="0" w:space="0" w:color="auto"/>
        <w:bottom w:val="none" w:sz="0" w:space="0" w:color="auto"/>
        <w:right w:val="none" w:sz="0" w:space="0" w:color="auto"/>
      </w:divBdr>
    </w:div>
    <w:div w:id="186918396">
      <w:bodyDiv w:val="1"/>
      <w:marLeft w:val="0"/>
      <w:marRight w:val="0"/>
      <w:marTop w:val="0"/>
      <w:marBottom w:val="0"/>
      <w:divBdr>
        <w:top w:val="none" w:sz="0" w:space="0" w:color="auto"/>
        <w:left w:val="none" w:sz="0" w:space="0" w:color="auto"/>
        <w:bottom w:val="none" w:sz="0" w:space="0" w:color="auto"/>
        <w:right w:val="none" w:sz="0" w:space="0" w:color="auto"/>
      </w:divBdr>
    </w:div>
    <w:div w:id="187524697">
      <w:bodyDiv w:val="1"/>
      <w:marLeft w:val="0"/>
      <w:marRight w:val="0"/>
      <w:marTop w:val="0"/>
      <w:marBottom w:val="0"/>
      <w:divBdr>
        <w:top w:val="none" w:sz="0" w:space="0" w:color="auto"/>
        <w:left w:val="none" w:sz="0" w:space="0" w:color="auto"/>
        <w:bottom w:val="none" w:sz="0" w:space="0" w:color="auto"/>
        <w:right w:val="none" w:sz="0" w:space="0" w:color="auto"/>
      </w:divBdr>
    </w:div>
    <w:div w:id="211700234">
      <w:bodyDiv w:val="1"/>
      <w:marLeft w:val="0"/>
      <w:marRight w:val="0"/>
      <w:marTop w:val="0"/>
      <w:marBottom w:val="0"/>
      <w:divBdr>
        <w:top w:val="none" w:sz="0" w:space="0" w:color="auto"/>
        <w:left w:val="none" w:sz="0" w:space="0" w:color="auto"/>
        <w:bottom w:val="none" w:sz="0" w:space="0" w:color="auto"/>
        <w:right w:val="none" w:sz="0" w:space="0" w:color="auto"/>
      </w:divBdr>
    </w:div>
    <w:div w:id="303855352">
      <w:bodyDiv w:val="1"/>
      <w:marLeft w:val="0"/>
      <w:marRight w:val="0"/>
      <w:marTop w:val="0"/>
      <w:marBottom w:val="0"/>
      <w:divBdr>
        <w:top w:val="none" w:sz="0" w:space="0" w:color="auto"/>
        <w:left w:val="none" w:sz="0" w:space="0" w:color="auto"/>
        <w:bottom w:val="none" w:sz="0" w:space="0" w:color="auto"/>
        <w:right w:val="none" w:sz="0" w:space="0" w:color="auto"/>
      </w:divBdr>
    </w:div>
    <w:div w:id="315257518">
      <w:bodyDiv w:val="1"/>
      <w:marLeft w:val="0"/>
      <w:marRight w:val="0"/>
      <w:marTop w:val="0"/>
      <w:marBottom w:val="0"/>
      <w:divBdr>
        <w:top w:val="none" w:sz="0" w:space="0" w:color="auto"/>
        <w:left w:val="none" w:sz="0" w:space="0" w:color="auto"/>
        <w:bottom w:val="none" w:sz="0" w:space="0" w:color="auto"/>
        <w:right w:val="none" w:sz="0" w:space="0" w:color="auto"/>
      </w:divBdr>
    </w:div>
    <w:div w:id="338508188">
      <w:bodyDiv w:val="1"/>
      <w:marLeft w:val="0"/>
      <w:marRight w:val="0"/>
      <w:marTop w:val="0"/>
      <w:marBottom w:val="0"/>
      <w:divBdr>
        <w:top w:val="none" w:sz="0" w:space="0" w:color="auto"/>
        <w:left w:val="none" w:sz="0" w:space="0" w:color="auto"/>
        <w:bottom w:val="none" w:sz="0" w:space="0" w:color="auto"/>
        <w:right w:val="none" w:sz="0" w:space="0" w:color="auto"/>
      </w:divBdr>
    </w:div>
    <w:div w:id="379744389">
      <w:bodyDiv w:val="1"/>
      <w:marLeft w:val="0"/>
      <w:marRight w:val="0"/>
      <w:marTop w:val="0"/>
      <w:marBottom w:val="0"/>
      <w:divBdr>
        <w:top w:val="none" w:sz="0" w:space="0" w:color="auto"/>
        <w:left w:val="none" w:sz="0" w:space="0" w:color="auto"/>
        <w:bottom w:val="none" w:sz="0" w:space="0" w:color="auto"/>
        <w:right w:val="none" w:sz="0" w:space="0" w:color="auto"/>
      </w:divBdr>
    </w:div>
    <w:div w:id="395518400">
      <w:bodyDiv w:val="1"/>
      <w:marLeft w:val="0"/>
      <w:marRight w:val="0"/>
      <w:marTop w:val="0"/>
      <w:marBottom w:val="0"/>
      <w:divBdr>
        <w:top w:val="none" w:sz="0" w:space="0" w:color="auto"/>
        <w:left w:val="none" w:sz="0" w:space="0" w:color="auto"/>
        <w:bottom w:val="none" w:sz="0" w:space="0" w:color="auto"/>
        <w:right w:val="none" w:sz="0" w:space="0" w:color="auto"/>
      </w:divBdr>
    </w:div>
    <w:div w:id="406733641">
      <w:bodyDiv w:val="1"/>
      <w:marLeft w:val="0"/>
      <w:marRight w:val="0"/>
      <w:marTop w:val="0"/>
      <w:marBottom w:val="0"/>
      <w:divBdr>
        <w:top w:val="none" w:sz="0" w:space="0" w:color="auto"/>
        <w:left w:val="none" w:sz="0" w:space="0" w:color="auto"/>
        <w:bottom w:val="none" w:sz="0" w:space="0" w:color="auto"/>
        <w:right w:val="none" w:sz="0" w:space="0" w:color="auto"/>
      </w:divBdr>
    </w:div>
    <w:div w:id="490371964">
      <w:bodyDiv w:val="1"/>
      <w:marLeft w:val="0"/>
      <w:marRight w:val="0"/>
      <w:marTop w:val="0"/>
      <w:marBottom w:val="0"/>
      <w:divBdr>
        <w:top w:val="none" w:sz="0" w:space="0" w:color="auto"/>
        <w:left w:val="none" w:sz="0" w:space="0" w:color="auto"/>
        <w:bottom w:val="none" w:sz="0" w:space="0" w:color="auto"/>
        <w:right w:val="none" w:sz="0" w:space="0" w:color="auto"/>
      </w:divBdr>
    </w:div>
    <w:div w:id="503595763">
      <w:bodyDiv w:val="1"/>
      <w:marLeft w:val="0"/>
      <w:marRight w:val="0"/>
      <w:marTop w:val="0"/>
      <w:marBottom w:val="0"/>
      <w:divBdr>
        <w:top w:val="none" w:sz="0" w:space="0" w:color="auto"/>
        <w:left w:val="none" w:sz="0" w:space="0" w:color="auto"/>
        <w:bottom w:val="none" w:sz="0" w:space="0" w:color="auto"/>
        <w:right w:val="none" w:sz="0" w:space="0" w:color="auto"/>
      </w:divBdr>
    </w:div>
    <w:div w:id="632907017">
      <w:bodyDiv w:val="1"/>
      <w:marLeft w:val="0"/>
      <w:marRight w:val="0"/>
      <w:marTop w:val="0"/>
      <w:marBottom w:val="0"/>
      <w:divBdr>
        <w:top w:val="none" w:sz="0" w:space="0" w:color="auto"/>
        <w:left w:val="none" w:sz="0" w:space="0" w:color="auto"/>
        <w:bottom w:val="none" w:sz="0" w:space="0" w:color="auto"/>
        <w:right w:val="none" w:sz="0" w:space="0" w:color="auto"/>
      </w:divBdr>
    </w:div>
    <w:div w:id="644434103">
      <w:bodyDiv w:val="1"/>
      <w:marLeft w:val="0"/>
      <w:marRight w:val="0"/>
      <w:marTop w:val="0"/>
      <w:marBottom w:val="0"/>
      <w:divBdr>
        <w:top w:val="none" w:sz="0" w:space="0" w:color="auto"/>
        <w:left w:val="none" w:sz="0" w:space="0" w:color="auto"/>
        <w:bottom w:val="none" w:sz="0" w:space="0" w:color="auto"/>
        <w:right w:val="none" w:sz="0" w:space="0" w:color="auto"/>
      </w:divBdr>
    </w:div>
    <w:div w:id="989016465">
      <w:bodyDiv w:val="1"/>
      <w:marLeft w:val="0"/>
      <w:marRight w:val="0"/>
      <w:marTop w:val="0"/>
      <w:marBottom w:val="0"/>
      <w:divBdr>
        <w:top w:val="none" w:sz="0" w:space="0" w:color="auto"/>
        <w:left w:val="none" w:sz="0" w:space="0" w:color="auto"/>
        <w:bottom w:val="none" w:sz="0" w:space="0" w:color="auto"/>
        <w:right w:val="none" w:sz="0" w:space="0" w:color="auto"/>
      </w:divBdr>
    </w:div>
    <w:div w:id="1025058723">
      <w:bodyDiv w:val="1"/>
      <w:marLeft w:val="0"/>
      <w:marRight w:val="0"/>
      <w:marTop w:val="0"/>
      <w:marBottom w:val="0"/>
      <w:divBdr>
        <w:top w:val="none" w:sz="0" w:space="0" w:color="auto"/>
        <w:left w:val="none" w:sz="0" w:space="0" w:color="auto"/>
        <w:bottom w:val="none" w:sz="0" w:space="0" w:color="auto"/>
        <w:right w:val="none" w:sz="0" w:space="0" w:color="auto"/>
      </w:divBdr>
    </w:div>
    <w:div w:id="1081831928">
      <w:bodyDiv w:val="1"/>
      <w:marLeft w:val="0"/>
      <w:marRight w:val="0"/>
      <w:marTop w:val="0"/>
      <w:marBottom w:val="0"/>
      <w:divBdr>
        <w:top w:val="none" w:sz="0" w:space="0" w:color="auto"/>
        <w:left w:val="none" w:sz="0" w:space="0" w:color="auto"/>
        <w:bottom w:val="none" w:sz="0" w:space="0" w:color="auto"/>
        <w:right w:val="none" w:sz="0" w:space="0" w:color="auto"/>
      </w:divBdr>
    </w:div>
    <w:div w:id="1104308616">
      <w:bodyDiv w:val="1"/>
      <w:marLeft w:val="0"/>
      <w:marRight w:val="0"/>
      <w:marTop w:val="0"/>
      <w:marBottom w:val="0"/>
      <w:divBdr>
        <w:top w:val="none" w:sz="0" w:space="0" w:color="auto"/>
        <w:left w:val="none" w:sz="0" w:space="0" w:color="auto"/>
        <w:bottom w:val="none" w:sz="0" w:space="0" w:color="auto"/>
        <w:right w:val="none" w:sz="0" w:space="0" w:color="auto"/>
      </w:divBdr>
    </w:div>
    <w:div w:id="1116214810">
      <w:bodyDiv w:val="1"/>
      <w:marLeft w:val="0"/>
      <w:marRight w:val="0"/>
      <w:marTop w:val="0"/>
      <w:marBottom w:val="0"/>
      <w:divBdr>
        <w:top w:val="none" w:sz="0" w:space="0" w:color="auto"/>
        <w:left w:val="none" w:sz="0" w:space="0" w:color="auto"/>
        <w:bottom w:val="none" w:sz="0" w:space="0" w:color="auto"/>
        <w:right w:val="none" w:sz="0" w:space="0" w:color="auto"/>
      </w:divBdr>
    </w:div>
    <w:div w:id="1135367779">
      <w:bodyDiv w:val="1"/>
      <w:marLeft w:val="0"/>
      <w:marRight w:val="0"/>
      <w:marTop w:val="0"/>
      <w:marBottom w:val="0"/>
      <w:divBdr>
        <w:top w:val="none" w:sz="0" w:space="0" w:color="auto"/>
        <w:left w:val="none" w:sz="0" w:space="0" w:color="auto"/>
        <w:bottom w:val="none" w:sz="0" w:space="0" w:color="auto"/>
        <w:right w:val="none" w:sz="0" w:space="0" w:color="auto"/>
      </w:divBdr>
    </w:div>
    <w:div w:id="1147825021">
      <w:bodyDiv w:val="1"/>
      <w:marLeft w:val="0"/>
      <w:marRight w:val="0"/>
      <w:marTop w:val="0"/>
      <w:marBottom w:val="0"/>
      <w:divBdr>
        <w:top w:val="none" w:sz="0" w:space="0" w:color="auto"/>
        <w:left w:val="none" w:sz="0" w:space="0" w:color="auto"/>
        <w:bottom w:val="none" w:sz="0" w:space="0" w:color="auto"/>
        <w:right w:val="none" w:sz="0" w:space="0" w:color="auto"/>
      </w:divBdr>
    </w:div>
    <w:div w:id="1161038832">
      <w:bodyDiv w:val="1"/>
      <w:marLeft w:val="0"/>
      <w:marRight w:val="0"/>
      <w:marTop w:val="0"/>
      <w:marBottom w:val="0"/>
      <w:divBdr>
        <w:top w:val="none" w:sz="0" w:space="0" w:color="auto"/>
        <w:left w:val="none" w:sz="0" w:space="0" w:color="auto"/>
        <w:bottom w:val="none" w:sz="0" w:space="0" w:color="auto"/>
        <w:right w:val="none" w:sz="0" w:space="0" w:color="auto"/>
      </w:divBdr>
    </w:div>
    <w:div w:id="1217472213">
      <w:bodyDiv w:val="1"/>
      <w:marLeft w:val="0"/>
      <w:marRight w:val="0"/>
      <w:marTop w:val="0"/>
      <w:marBottom w:val="0"/>
      <w:divBdr>
        <w:top w:val="none" w:sz="0" w:space="0" w:color="auto"/>
        <w:left w:val="none" w:sz="0" w:space="0" w:color="auto"/>
        <w:bottom w:val="none" w:sz="0" w:space="0" w:color="auto"/>
        <w:right w:val="none" w:sz="0" w:space="0" w:color="auto"/>
      </w:divBdr>
    </w:div>
    <w:div w:id="1219592030">
      <w:bodyDiv w:val="1"/>
      <w:marLeft w:val="0"/>
      <w:marRight w:val="0"/>
      <w:marTop w:val="0"/>
      <w:marBottom w:val="0"/>
      <w:divBdr>
        <w:top w:val="none" w:sz="0" w:space="0" w:color="auto"/>
        <w:left w:val="none" w:sz="0" w:space="0" w:color="auto"/>
        <w:bottom w:val="none" w:sz="0" w:space="0" w:color="auto"/>
        <w:right w:val="none" w:sz="0" w:space="0" w:color="auto"/>
      </w:divBdr>
    </w:div>
    <w:div w:id="1299728622">
      <w:bodyDiv w:val="1"/>
      <w:marLeft w:val="0"/>
      <w:marRight w:val="0"/>
      <w:marTop w:val="0"/>
      <w:marBottom w:val="0"/>
      <w:divBdr>
        <w:top w:val="none" w:sz="0" w:space="0" w:color="auto"/>
        <w:left w:val="none" w:sz="0" w:space="0" w:color="auto"/>
        <w:bottom w:val="none" w:sz="0" w:space="0" w:color="auto"/>
        <w:right w:val="none" w:sz="0" w:space="0" w:color="auto"/>
      </w:divBdr>
    </w:div>
    <w:div w:id="1405565216">
      <w:bodyDiv w:val="1"/>
      <w:marLeft w:val="0"/>
      <w:marRight w:val="0"/>
      <w:marTop w:val="0"/>
      <w:marBottom w:val="0"/>
      <w:divBdr>
        <w:top w:val="none" w:sz="0" w:space="0" w:color="auto"/>
        <w:left w:val="none" w:sz="0" w:space="0" w:color="auto"/>
        <w:bottom w:val="none" w:sz="0" w:space="0" w:color="auto"/>
        <w:right w:val="none" w:sz="0" w:space="0" w:color="auto"/>
      </w:divBdr>
      <w:divsChild>
        <w:div w:id="1274941953">
          <w:marLeft w:val="0"/>
          <w:marRight w:val="0"/>
          <w:marTop w:val="0"/>
          <w:marBottom w:val="0"/>
          <w:divBdr>
            <w:top w:val="none" w:sz="0" w:space="0" w:color="auto"/>
            <w:left w:val="none" w:sz="0" w:space="0" w:color="auto"/>
            <w:bottom w:val="none" w:sz="0" w:space="0" w:color="auto"/>
            <w:right w:val="none" w:sz="0" w:space="0" w:color="auto"/>
          </w:divBdr>
          <w:divsChild>
            <w:div w:id="21018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4021">
      <w:bodyDiv w:val="1"/>
      <w:marLeft w:val="0"/>
      <w:marRight w:val="0"/>
      <w:marTop w:val="0"/>
      <w:marBottom w:val="0"/>
      <w:divBdr>
        <w:top w:val="none" w:sz="0" w:space="0" w:color="auto"/>
        <w:left w:val="none" w:sz="0" w:space="0" w:color="auto"/>
        <w:bottom w:val="none" w:sz="0" w:space="0" w:color="auto"/>
        <w:right w:val="none" w:sz="0" w:space="0" w:color="auto"/>
      </w:divBdr>
    </w:div>
    <w:div w:id="1583685932">
      <w:bodyDiv w:val="1"/>
      <w:marLeft w:val="0"/>
      <w:marRight w:val="0"/>
      <w:marTop w:val="0"/>
      <w:marBottom w:val="0"/>
      <w:divBdr>
        <w:top w:val="none" w:sz="0" w:space="0" w:color="auto"/>
        <w:left w:val="none" w:sz="0" w:space="0" w:color="auto"/>
        <w:bottom w:val="none" w:sz="0" w:space="0" w:color="auto"/>
        <w:right w:val="none" w:sz="0" w:space="0" w:color="auto"/>
      </w:divBdr>
    </w:div>
    <w:div w:id="1872303596">
      <w:bodyDiv w:val="1"/>
      <w:marLeft w:val="0"/>
      <w:marRight w:val="0"/>
      <w:marTop w:val="0"/>
      <w:marBottom w:val="0"/>
      <w:divBdr>
        <w:top w:val="none" w:sz="0" w:space="0" w:color="auto"/>
        <w:left w:val="none" w:sz="0" w:space="0" w:color="auto"/>
        <w:bottom w:val="none" w:sz="0" w:space="0" w:color="auto"/>
        <w:right w:val="none" w:sz="0" w:space="0" w:color="auto"/>
      </w:divBdr>
    </w:div>
    <w:div w:id="1880045209">
      <w:bodyDiv w:val="1"/>
      <w:marLeft w:val="0"/>
      <w:marRight w:val="0"/>
      <w:marTop w:val="0"/>
      <w:marBottom w:val="0"/>
      <w:divBdr>
        <w:top w:val="none" w:sz="0" w:space="0" w:color="auto"/>
        <w:left w:val="none" w:sz="0" w:space="0" w:color="auto"/>
        <w:bottom w:val="none" w:sz="0" w:space="0" w:color="auto"/>
        <w:right w:val="none" w:sz="0" w:space="0" w:color="auto"/>
      </w:divBdr>
    </w:div>
    <w:div w:id="2011324993">
      <w:bodyDiv w:val="1"/>
      <w:marLeft w:val="0"/>
      <w:marRight w:val="0"/>
      <w:marTop w:val="0"/>
      <w:marBottom w:val="0"/>
      <w:divBdr>
        <w:top w:val="none" w:sz="0" w:space="0" w:color="auto"/>
        <w:left w:val="none" w:sz="0" w:space="0" w:color="auto"/>
        <w:bottom w:val="none" w:sz="0" w:space="0" w:color="auto"/>
        <w:right w:val="none" w:sz="0" w:space="0" w:color="auto"/>
      </w:divBdr>
    </w:div>
    <w:div w:id="2022972906">
      <w:bodyDiv w:val="1"/>
      <w:marLeft w:val="0"/>
      <w:marRight w:val="0"/>
      <w:marTop w:val="0"/>
      <w:marBottom w:val="0"/>
      <w:divBdr>
        <w:top w:val="none" w:sz="0" w:space="0" w:color="auto"/>
        <w:left w:val="none" w:sz="0" w:space="0" w:color="auto"/>
        <w:bottom w:val="none" w:sz="0" w:space="0" w:color="auto"/>
        <w:right w:val="none" w:sz="0" w:space="0" w:color="auto"/>
      </w:divBdr>
    </w:div>
    <w:div w:id="2039044960">
      <w:bodyDiv w:val="1"/>
      <w:marLeft w:val="0"/>
      <w:marRight w:val="0"/>
      <w:marTop w:val="0"/>
      <w:marBottom w:val="0"/>
      <w:divBdr>
        <w:top w:val="none" w:sz="0" w:space="0" w:color="auto"/>
        <w:left w:val="none" w:sz="0" w:space="0" w:color="auto"/>
        <w:bottom w:val="none" w:sz="0" w:space="0" w:color="auto"/>
        <w:right w:val="none" w:sz="0" w:space="0" w:color="auto"/>
      </w:divBdr>
    </w:div>
    <w:div w:id="2054114991">
      <w:bodyDiv w:val="1"/>
      <w:marLeft w:val="0"/>
      <w:marRight w:val="0"/>
      <w:marTop w:val="0"/>
      <w:marBottom w:val="0"/>
      <w:divBdr>
        <w:top w:val="none" w:sz="0" w:space="0" w:color="auto"/>
        <w:left w:val="none" w:sz="0" w:space="0" w:color="auto"/>
        <w:bottom w:val="none" w:sz="0" w:space="0" w:color="auto"/>
        <w:right w:val="none" w:sz="0" w:space="0" w:color="auto"/>
      </w:divBdr>
    </w:div>
    <w:div w:id="20918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6A73DDE63E2A4A9CEA3BEA2F08DE30" ma:contentTypeVersion="14" ma:contentTypeDescription="Create a new document." ma:contentTypeScope="" ma:versionID="7b1952e9e0b951e56ae04634b1ba3fc4">
  <xsd:schema xmlns:xsd="http://www.w3.org/2001/XMLSchema" xmlns:xs="http://www.w3.org/2001/XMLSchema" xmlns:p="http://schemas.microsoft.com/office/2006/metadata/properties" xmlns:ns2="2a0c296b-3782-43f0-ac0d-8ddc33cbea68" xmlns:ns3="0a5f653e-e94a-4bae-a8bb-c15628e95929" targetNamespace="http://schemas.microsoft.com/office/2006/metadata/properties" ma:root="true" ma:fieldsID="9a77d98d21562642d7a31f62aec7f6d7" ns2:_="" ns3:_="">
    <xsd:import namespace="2a0c296b-3782-43f0-ac0d-8ddc33cbea68"/>
    <xsd:import namespace="0a5f653e-e94a-4bae-a8bb-c15628e959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c296b-3782-43f0-ac0d-8ddc33cbe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5f653e-e94a-4bae-a8bb-c15628e959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aa52b12-724b-4855-b397-b34b573a1ee0}" ma:internalName="TaxCatchAll" ma:showField="CatchAllData" ma:web="0a5f653e-e94a-4bae-a8bb-c15628e959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0c296b-3782-43f0-ac0d-8ddc33cbea68">
      <Terms xmlns="http://schemas.microsoft.com/office/infopath/2007/PartnerControls"/>
    </lcf76f155ced4ddcb4097134ff3c332f>
    <TaxCatchAll xmlns="0a5f653e-e94a-4bae-a8bb-c15628e95929" xsi:nil="true"/>
    <SharedWithUsers xmlns="0a5f653e-e94a-4bae-a8bb-c15628e95929">
      <UserInfo>
        <DisplayName>BOYCE, Suzanna (NHS BUCKINGHAMSHIRE, OXFORDSHIRE AND BERKSHIRE WEST ICB - 10Q)</DisplayName>
        <AccountId>44</AccountId>
        <AccountType/>
      </UserInfo>
      <UserInfo>
        <DisplayName>MOUNTFORD, Catherine (NHS BUCKINGHAMSHIRE, OXFORDSHIRE AND BERKSHIRE WEST ICB - 10Q)</DisplayName>
        <AccountId>12</AccountId>
        <AccountType/>
      </UserInfo>
    </SharedWithUsers>
  </documentManagement>
</p:properties>
</file>

<file path=customXml/itemProps1.xml><?xml version="1.0" encoding="utf-8"?>
<ds:datastoreItem xmlns:ds="http://schemas.openxmlformats.org/officeDocument/2006/customXml" ds:itemID="{612ABD06-042D-42DC-8CAA-FB76D40D13D7}">
  <ds:schemaRefs>
    <ds:schemaRef ds:uri="http://schemas.openxmlformats.org/officeDocument/2006/bibliography"/>
  </ds:schemaRefs>
</ds:datastoreItem>
</file>

<file path=customXml/itemProps2.xml><?xml version="1.0" encoding="utf-8"?>
<ds:datastoreItem xmlns:ds="http://schemas.openxmlformats.org/officeDocument/2006/customXml" ds:itemID="{35CB7C66-2755-4805-BA3C-562764F9E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c296b-3782-43f0-ac0d-8ddc33cbea68"/>
    <ds:schemaRef ds:uri="0a5f653e-e94a-4bae-a8bb-c15628e95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F46B2-E39C-4C47-B000-10E8BEAAA058}">
  <ds:schemaRefs>
    <ds:schemaRef ds:uri="http://schemas.microsoft.com/sharepoint/v3/contenttype/forms"/>
  </ds:schemaRefs>
</ds:datastoreItem>
</file>

<file path=customXml/itemProps4.xml><?xml version="1.0" encoding="utf-8"?>
<ds:datastoreItem xmlns:ds="http://schemas.openxmlformats.org/officeDocument/2006/customXml" ds:itemID="{952D65DD-0B9E-4E54-B0D4-AC81004449FD}">
  <ds:schemaRefs>
    <ds:schemaRef ds:uri="http://purl.org/dc/dcmitype/"/>
    <ds:schemaRef ds:uri="http://schemas.microsoft.com/office/infopath/2007/PartnerControls"/>
    <ds:schemaRef ds:uri="2a0c296b-3782-43f0-ac0d-8ddc33cbea68"/>
    <ds:schemaRef ds:uri="http://purl.org/dc/elements/1.1/"/>
    <ds:schemaRef ds:uri="http://schemas.microsoft.com/office/2006/metadata/properties"/>
    <ds:schemaRef ds:uri="http://schemas.microsoft.com/office/2006/documentManagement/types"/>
    <ds:schemaRef ds:uri="0a5f653e-e94a-4bae-a8bb-c15628e95929"/>
    <ds:schemaRef ds:uri="http://purl.org/dc/terms/"/>
    <ds:schemaRef ds:uri="http://schemas.openxmlformats.org/package/2006/metadata/core-properties"/>
    <ds:schemaRef ds:uri="http://www.w3.org/XML/1998/namespac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7533</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Lesley (NHS BUCKINGHAMSHIRE, OXFORDSHIRE AND BERKSHIRE WEST ICB - 10Q)</dc:creator>
  <cp:keywords/>
  <dc:description/>
  <cp:lastModifiedBy>MOUNTFORD, Catherine (NHS BUCKINGHAMSHIRE, OXFORDSHIRE AND BERKSHIRE WEST ICB - 10Q)</cp:lastModifiedBy>
  <cp:revision>2</cp:revision>
  <cp:lastPrinted>2023-12-19T01:13:00Z</cp:lastPrinted>
  <dcterms:created xsi:type="dcterms:W3CDTF">2024-02-10T12:44:00Z</dcterms:created>
  <dcterms:modified xsi:type="dcterms:W3CDTF">2024-02-10T12:44:00Z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0x010100EF6A73DDE63E2A4A9CEA3BEA2F08DE30</vt:lpwstr>
  </property>
  <property fmtid="{D5CDD505-2E9C-101B-9397-08002B2CF9AE}" pid="3" name="MediaServiceImageTags">
    <vt:lpwstr/>
  </property>
</Properties>
</file>